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учреждения</w:t>
      </w:r>
      <w:r w:rsidR="00F5734C">
        <w:rPr>
          <w:color w:val="444444"/>
        </w:rPr>
        <w:t xml:space="preserve"> «</w:t>
      </w:r>
      <w:proofErr w:type="spellStart"/>
      <w:r w:rsidR="00F5734C">
        <w:rPr>
          <w:color w:val="444444"/>
        </w:rPr>
        <w:t>Межпоселенческая</w:t>
      </w:r>
      <w:proofErr w:type="spellEnd"/>
      <w:r w:rsidR="00F5734C">
        <w:rPr>
          <w:color w:val="444444"/>
        </w:rPr>
        <w:t xml:space="preserve"> центральная </w:t>
      </w:r>
      <w:proofErr w:type="gramStart"/>
      <w:r w:rsidR="00F5734C">
        <w:rPr>
          <w:color w:val="444444"/>
        </w:rPr>
        <w:t xml:space="preserve">библиотека» </w:t>
      </w:r>
      <w:r>
        <w:rPr>
          <w:color w:val="444444"/>
        </w:rPr>
        <w:t xml:space="preserve"> Курского</w:t>
      </w:r>
      <w:proofErr w:type="gramEnd"/>
      <w:r>
        <w:rPr>
          <w:color w:val="444444"/>
        </w:rPr>
        <w:t xml:space="preserve"> муниципального района Ставропольского края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учреждения</w:t>
      </w:r>
      <w:r w:rsidR="00F5734C">
        <w:rPr>
          <w:color w:val="444444"/>
        </w:rPr>
        <w:t xml:space="preserve"> «</w:t>
      </w:r>
      <w:proofErr w:type="spellStart"/>
      <w:r w:rsidR="00F5734C">
        <w:rPr>
          <w:color w:val="444444"/>
        </w:rPr>
        <w:t>Межпоселенческая</w:t>
      </w:r>
      <w:proofErr w:type="spellEnd"/>
      <w:r w:rsidR="00F5734C">
        <w:rPr>
          <w:color w:val="444444"/>
        </w:rPr>
        <w:t xml:space="preserve"> центральная библиотека»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F9305C">
        <w:rPr>
          <w:color w:val="444444"/>
        </w:rPr>
        <w:t>14</w:t>
      </w:r>
      <w:r>
        <w:rPr>
          <w:color w:val="444444"/>
        </w:rPr>
        <w:t xml:space="preserve"> </w:t>
      </w:r>
      <w:r w:rsidR="00F9305C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9305C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F9305C">
        <w:rPr>
          <w:color w:val="444444"/>
        </w:rPr>
        <w:t>50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>»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>муниципального учреждения</w:t>
      </w:r>
      <w:r w:rsidR="00F5734C">
        <w:rPr>
          <w:color w:val="444444"/>
        </w:rPr>
        <w:t xml:space="preserve"> «</w:t>
      </w:r>
      <w:proofErr w:type="spellStart"/>
      <w:r w:rsidR="00F5734C">
        <w:rPr>
          <w:color w:val="444444"/>
        </w:rPr>
        <w:t>Межпоселенческая</w:t>
      </w:r>
      <w:proofErr w:type="spellEnd"/>
      <w:r w:rsidR="00F5734C">
        <w:rPr>
          <w:color w:val="444444"/>
        </w:rPr>
        <w:t xml:space="preserve"> центральная библиотека»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F5734C">
        <w:rPr>
          <w:color w:val="444444"/>
        </w:rPr>
        <w:t>и</w:t>
      </w:r>
      <w:bookmarkStart w:id="0" w:name="_GoBack"/>
      <w:bookmarkEnd w:id="0"/>
      <w:r w:rsidR="009174AF">
        <w:rPr>
          <w:color w:val="444444"/>
        </w:rPr>
        <w:t xml:space="preserve"> работ) по ведению бюджетного и налогового учета № 5</w:t>
      </w:r>
      <w:r w:rsidR="00F5734C">
        <w:rPr>
          <w:color w:val="444444"/>
        </w:rPr>
        <w:t>9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Реестр списания ГСМ;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Отчет об использовании бланков строгой отчетности.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D37ADA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42773C"/>
    <w:rsid w:val="004D0010"/>
    <w:rsid w:val="005272A1"/>
    <w:rsid w:val="00544529"/>
    <w:rsid w:val="005954E6"/>
    <w:rsid w:val="006A2D62"/>
    <w:rsid w:val="008603D7"/>
    <w:rsid w:val="009174AF"/>
    <w:rsid w:val="00B7708F"/>
    <w:rsid w:val="00C32C22"/>
    <w:rsid w:val="00D37ADA"/>
    <w:rsid w:val="00D96DA0"/>
    <w:rsid w:val="00DD08B0"/>
    <w:rsid w:val="00E05B54"/>
    <w:rsid w:val="00EA6F35"/>
    <w:rsid w:val="00F340B8"/>
    <w:rsid w:val="00F5734C"/>
    <w:rsid w:val="00F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6CC3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3</cp:revision>
  <dcterms:created xsi:type="dcterms:W3CDTF">2019-06-26T08:54:00Z</dcterms:created>
  <dcterms:modified xsi:type="dcterms:W3CDTF">2019-06-26T09:00:00Z</dcterms:modified>
</cp:coreProperties>
</file>