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>СНиП 2.05.06-85*</w:t>
      </w:r>
      <w:r>
        <w:rPr/>
        <w:drawing>
          <wp:inline distT="0" distB="0" distL="0" distR="0">
            <wp:extent cx="123825" cy="2190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</w:t>
      </w:r>
    </w:p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>________________</w:t>
      </w:r>
    </w:p>
    <w:p>
      <w:pPr>
        <w:pStyle w:val="FORMATTEXT"/>
        <w:bidi w:val="0"/>
        <w:ind w:start="0" w:end="0" w:hanging="0"/>
        <w:jc w:val="end"/>
        <w:rPr/>
      </w:pPr>
      <w:r>
        <w:rPr/>
        <w:drawing>
          <wp:inline distT="0" distB="0" distL="0" distR="0">
            <wp:extent cx="123825" cy="21907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Зарегистрирован Росстандартом в качестве </w:t>
      </w:r>
      <w:r>
        <w:rPr>
          <w:rFonts w:cs="Times New Roman" w:ascii="Times New Roman" w:hAnsi="Times New Roman"/>
          <w:b/>
          <w:bCs/>
        </w:rPr>
        <w:t>СП 36.13330.2010</w:t>
      </w:r>
      <w:r>
        <w:rPr>
          <w:rFonts w:cs="Times New Roman" w:ascii="Times New Roman" w:hAnsi="Times New Roman"/>
        </w:rPr>
        <w:t xml:space="preserve">. - </w:t>
      </w:r>
    </w:p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>Примечание изготовителя базы данных.</w:t>
      </w:r>
    </w:p>
    <w:p>
      <w:pPr>
        <w:pStyle w:val="HEADERTEXT"/>
        <w:bidi w:val="0"/>
        <w:ind w:start="0" w:end="0" w:hanging="0"/>
        <w:rPr>
          <w:rFonts w:ascii="Times New Roman" w:hAnsi="Times New Roman" w:cs="Times New Roman"/>
          <w:b/>
          <w:b/>
          <w:bCs/>
          <w:color w:val="000001"/>
        </w:rPr>
      </w:pPr>
      <w:r>
        <w:rPr>
          <w:rFonts w:cs="Times New Roman" w:ascii="Times New Roman" w:hAnsi="Times New Roman"/>
          <w:b/>
          <w:bCs/>
          <w:color w:val="000001"/>
        </w:rPr>
      </w:r>
    </w:p>
    <w:p>
      <w:pPr>
        <w:pStyle w:val="HEADERTEXT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  <w:b/>
          <w:bCs/>
          <w:color w:val="000001"/>
        </w:rPr>
        <w:t xml:space="preserve"> </w:t>
      </w:r>
      <w:r>
        <w:rPr>
          <w:rFonts w:cs="Times New Roman" w:ascii="Times New Roman" w:hAnsi="Times New Roman"/>
          <w:b/>
          <w:bCs/>
          <w:color w:val="000001"/>
        </w:rPr>
        <w:t xml:space="preserve">СТРОИТЕЛЬНЫЕ НОРМЫ И ПРАВИЛА </w:t>
      </w:r>
    </w:p>
    <w:p>
      <w:pPr>
        <w:pStyle w:val="HEADERTEXT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  <w:b/>
          <w:bCs/>
          <w:color w:val="000001"/>
        </w:rPr>
        <w:t xml:space="preserve"> </w:t>
      </w:r>
      <w:r>
        <w:rPr>
          <w:rFonts w:cs="Times New Roman" w:ascii="Times New Roman" w:hAnsi="Times New Roman"/>
          <w:b/>
          <w:bCs/>
          <w:color w:val="000001"/>
        </w:rPr>
        <w:t xml:space="preserve">Магистральные трубопроводы </w:t>
      </w:r>
    </w:p>
    <w:p>
      <w:pPr>
        <w:pStyle w:val="HORIZLINE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FORMATTEXT"/>
        <w:bidi w:val="0"/>
        <w:ind w:start="0" w:end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RMATTEXT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</w:rPr>
        <w:t>Текст Сравнения СНиП 2.05.06-85* с СП 36.13330.2012 см. по ссылке.</w:t>
      </w:r>
    </w:p>
    <w:p>
      <w:pPr>
        <w:pStyle w:val="FORMATTEXT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</w:rPr>
        <w:t>- Примечание изготовителя базы данных.</w:t>
      </w:r>
    </w:p>
    <w:p>
      <w:pPr>
        <w:pStyle w:val="HORIZLINE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FORMATTEXT"/>
        <w:bidi w:val="0"/>
        <w:ind w:start="0" w:end="0" w:hanging="0"/>
        <w:jc w:val="center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>Дата введения 1986-01-01</w:t>
      </w:r>
    </w:p>
    <w:p>
      <w:pPr>
        <w:pStyle w:val="FORMATTEXT"/>
        <w:bidi w:val="0"/>
        <w:ind w:start="0" w:end="0" w:firstLine="56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RMATTEXT"/>
        <w:bidi w:val="0"/>
        <w:ind w:start="0" w:end="0" w:firstLine="568"/>
        <w:jc w:val="both"/>
        <w:rPr/>
      </w:pPr>
      <w:r>
        <w:rPr>
          <w:rFonts w:cs="Times New Roman" w:ascii="Times New Roman" w:hAnsi="Times New Roman"/>
        </w:rPr>
        <w:t>3.16. Расстояния от оси подземных и наземных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но не менее значений, указанных в табл.4*.</w:t>
      </w:r>
    </w:p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 xml:space="preserve">Таблица 4*. </w:t>
      </w:r>
    </w:p>
    <w:tbl>
      <w:tblPr>
        <w:tblW w:w="10500" w:type="dxa"/>
        <w:jc w:val="start"/>
        <w:tblInd w:w="-488" w:type="dxa"/>
        <w:tblLayout w:type="fixed"/>
        <w:tblCellMar>
          <w:top w:w="114" w:type="dxa"/>
          <w:start w:w="28" w:type="dxa"/>
          <w:bottom w:w="114" w:type="dxa"/>
          <w:end w:w="28" w:type="dxa"/>
        </w:tblCellMar>
      </w:tblPr>
      <w:tblGrid>
        <w:gridCol w:w="4395"/>
        <w:gridCol w:w="449"/>
        <w:gridCol w:w="76"/>
        <w:gridCol w:w="375"/>
        <w:gridCol w:w="14"/>
        <w:gridCol w:w="105"/>
        <w:gridCol w:w="330"/>
        <w:gridCol w:w="136"/>
        <w:gridCol w:w="434"/>
        <w:gridCol w:w="76"/>
        <w:gridCol w:w="494"/>
        <w:gridCol w:w="15"/>
        <w:gridCol w:w="16"/>
        <w:gridCol w:w="435"/>
        <w:gridCol w:w="119"/>
        <w:gridCol w:w="16"/>
        <w:gridCol w:w="330"/>
        <w:gridCol w:w="105"/>
        <w:gridCol w:w="14"/>
        <w:gridCol w:w="420"/>
        <w:gridCol w:w="15"/>
        <w:gridCol w:w="451"/>
        <w:gridCol w:w="59"/>
        <w:gridCol w:w="15"/>
        <w:gridCol w:w="45"/>
        <w:gridCol w:w="420"/>
        <w:gridCol w:w="31"/>
        <w:gridCol w:w="60"/>
        <w:gridCol w:w="479"/>
        <w:gridCol w:w="15"/>
        <w:gridCol w:w="16"/>
        <w:gridCol w:w="74"/>
        <w:gridCol w:w="465"/>
      </w:tblGrid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Объекты, здания и сооружения 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Минимальные расстояния, м, от оси </w:t>
            </w:r>
          </w:p>
        </w:tc>
      </w:tr>
      <w:tr>
        <w:trPr>
          <w:trHeight w:val="330" w:hRule="atLeast"/>
        </w:trPr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3974" w:type="dxa"/>
            <w:gridSpan w:val="2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газопроводов </w:t>
            </w:r>
          </w:p>
        </w:tc>
        <w:tc>
          <w:tcPr>
            <w:tcW w:w="2130" w:type="dxa"/>
            <w:gridSpan w:val="1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нефтепроводов и нефтепродукто- проводов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класса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 </w:t>
            </w:r>
          </w:p>
        </w:tc>
        <w:tc>
          <w:tcPr>
            <w:tcW w:w="884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IV </w:t>
            </w:r>
          </w:p>
        </w:tc>
        <w:tc>
          <w:tcPr>
            <w:tcW w:w="42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III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  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условным диаметром, мм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ме- нее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600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800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1200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1400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ме- нее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ме- нее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1400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13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Города и другие населенные пункты; коллективные сады с садовыми домиками, дачные поселки; отдельные промышленные и сельскохозяйственные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более 20; отдельно стоящие здания с массовым скоплением людей (школы, больницы, клубы, детские сады и ясли, вокзалы и т.д.); жилые здания 3-этажные и выше; железнодорожные станции; аэропорты; морские и речные  порты и пристани; гидро- электростанции; гидротехнические сооружения морского и речного транспорта I-IV классов; очистные сооружения и насосные станции водопроводные, не относящиеся к магистральному трубопроводу, мосты железных дорог общей сети и автомобильных дорог I и II категорий с пролетом свыше 20 м (при прокладке нефтепроводов и нефтепродуктопроводов ниже мостов по течению); склады легковоспламеняющихся и горючих жидкостей и газов с объемом хранения свыше 1000 м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Министерства связи России и других ведомств; телевизионные башни. </w:t>
            </w:r>
          </w:p>
        </w:tc>
        <w:tc>
          <w:tcPr>
            <w:tcW w:w="449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51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</w:tc>
        <w:tc>
          <w:tcPr>
            <w:tcW w:w="585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350 </w:t>
            </w:r>
          </w:p>
        </w:tc>
        <w:tc>
          <w:tcPr>
            <w:tcW w:w="451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51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11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5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>
          <w:trHeight w:val="1656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Железные дороги общей сети (на перегонах) и автодороги I-III категорий, параллельно которым прокладывается трубопровод; отдельно стоящие: жилые здания 1-2-этажные; садовые домики, дачи; дома линейных обходчиков; кладбища; сельскохозяйственные фермы и огороженные участки для организованного выпаса скота; полевые станы.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>
          <w:trHeight w:val="1955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Отдельно стоящие нежилые и подсобные строения; устья бурящихся и эксплуатируемых нефтяных, газовых и артезианских скважин; гаражи и открытые стоянки для автомобилей индивидуальных владельцев на 20 автомобилей и менее; канализационные сооружения; железные дороги промышленных предприятий; автомобильные дороги III-п, IV, IV-п и V категорий, параллельно которым прокладывается трубопровод.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</w:tr>
      <w:tr>
        <w:trPr>
          <w:trHeight w:val="1194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Мосты железных дорог промышленных предприятий, автомобильных дорог III, III-п, IV, IV-п категорий с пролетом свыше 20 м (при прокладке нефтепроводов и нефтепродуктопроводов ниже мостов по течению).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5. Территории НПС, КС, установок комплексной подготовки нефти и газа, СПХГ, групповых и сборных пунктов промыслов, промысловых газораспределительных станций (ПГРС), установок очистки и осушки газа.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6. Вертодромы и посадочные площадки без базирования на них вертолетов.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7. При прокладке подводных нефтепроводов и нефте- продуктопроводов выше по течению: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 мостов железных и автомобильных дорог, промышленных предприятий и гидротехнических сооружений </w:t>
            </w:r>
          </w:p>
        </w:tc>
        <w:tc>
          <w:tcPr>
            <w:tcW w:w="449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11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 пристаней и речных вокзалов </w:t>
            </w:r>
          </w:p>
        </w:tc>
        <w:tc>
          <w:tcPr>
            <w:tcW w:w="449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51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85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51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1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511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55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1500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 водозаборов </w:t>
            </w:r>
          </w:p>
        </w:tc>
        <w:tc>
          <w:tcPr>
            <w:tcW w:w="449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51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85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51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1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3000 </w:t>
            </w:r>
          </w:p>
        </w:tc>
        <w:tc>
          <w:tcPr>
            <w:tcW w:w="511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3000 </w:t>
            </w:r>
          </w:p>
        </w:tc>
        <w:tc>
          <w:tcPr>
            <w:tcW w:w="555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3000 </w:t>
            </w:r>
          </w:p>
        </w:tc>
      </w:tr>
      <w:tr>
        <w:trPr>
          <w:trHeight w:val="1656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8. Территории ГРС, автоматизи- рованных газораспределительных станций (АГРС), регуляторных станций, в том числе шкафного типа, предназначенных для обеспечения газом: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а) городов; населенных пунктов; предприятий; отдельных зданий и сооружений; других потребителей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4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11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б) объектов газопровода (пунктов замера расхода газа, термоэлектрогенераторов и т.д.)</w:t>
            </w:r>
          </w:p>
        </w:tc>
        <w:tc>
          <w:tcPr>
            <w:tcW w:w="449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51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7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85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51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4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1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11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555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</w:tr>
      <w:tr>
        <w:trPr>
          <w:trHeight w:val="613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9. Автоматизированные электростанции с термоэлектрогенераторами; аппаратура связи, телемеханики и автоматики.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менее 15 от крайней нитки </w:t>
            </w:r>
          </w:p>
        </w:tc>
      </w:tr>
      <w:tr>
        <w:trPr>
          <w:trHeight w:val="754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10. Магистральные оросительные каналы и коллекторы, реки и водоемы, вдоль которых прокладывается трубопровод; водозаборные сооружения и станции оросительных систем </w:t>
            </w:r>
          </w:p>
        </w:tc>
        <w:tc>
          <w:tcPr>
            <w:tcW w:w="4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601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6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11*. Специальные предприятия, сооружения, площадки, охраняемые зоны, склады взрывчатых и взрывоопасных веществ, карьеры полезных ископаемых, добыча на которых производится с применением взрывных работ, склады сжиженных горючих газов 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 соответствии с требованиями специальных нормативных документов, утвержденных в установленном порядке, и по согласованию с органами государственного надзора, министерствами и ведомствами, в ведении которых находятся указанные объекты </w:t>
            </w:r>
          </w:p>
        </w:tc>
      </w:tr>
      <w:tr>
        <w:trPr>
          <w:trHeight w:val="2243" w:hRule="atLeast"/>
        </w:trPr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 Воздушные линии электропередачи высокого напряжения, параллельно которым прокладывается трубопровод; воздушные линии электропередачи высокого напряжения, параллельно которым прокладывается трубопровод в стесненных условиях трассы; опоры воздушных линий электропередачи высокого напряжения при пересечении их трубопроводом; открытые и закрытые трансформаторные подстанции и закрытые распределительные устройства напряжением 35 кВ и более.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 соответствии с требованиями "Правил устройства электроустановок", утвержденных Минэнерго СССР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 Земляной амбар для аварийного выпуска нефти и конденсата из трубопровода.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630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8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 Кабели междугородной связи и силовые электрокабели.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0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8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15. Мачты (башни) и сооружения необслуживаемой малоканальной радиорелейной связи трубопроводов, термо- электрогенераторы.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30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58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4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16. Необслуживаемые усилительные пункты кабельной связи в подземных термокамерах.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0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8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4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17. Притрассовые постоянные дороги, предназначенные только для обслуживания трубопроводов. </w:t>
            </w:r>
          </w:p>
        </w:tc>
        <w:tc>
          <w:tcPr>
            <w:tcW w:w="6104" w:type="dxa"/>
            <w:gridSpan w:val="32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менее 10 </w:t>
            </w:r>
          </w:p>
        </w:tc>
      </w:tr>
      <w:tr>
        <w:trPr/>
        <w:tc>
          <w:tcPr>
            <w:tcW w:w="10499" w:type="dxa"/>
            <w:gridSpan w:val="33"/>
            <w:tcBorders>
              <w:top w:val="single" w:sz="4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* Примечания: 1. Расстояния, указанные в таблице, следует принимать: для городов и других населенных пунктов - от проектной городской черты на расчетный срок 20-25 лет; для отдельных промышленных предприятий, железнодорожных станций, аэродромов, морских и речных портов и пристаней, гидротехнических сооружений, складов горючих и легковоспламеняющихся материалов, артезианских скважин - от границ отведенных им территорий с учетом их развития; для железных дорог - от подошвы насыпи или бровки выемки со стороны трубопровода, но не менее 10 м от границы полосы отвода дороги; для автомобильных дорог - от подошвы насыпи земляного полотна; для всех мостов - от подошвы конусов; для отдельно стоящих зданий и строений - от ближайших выступающих их частей.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2. Под отдельно стоящим зданием или строением следует понимать здание или строение, расположенное вне населенного пункта на расстоянии не менее 50 м от ближайших к нему зданий и сооружений.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3. Минимальные расстояния от мостов железных и автомобильных дорог с пролетом 20 м и менее следует принимать такие же, как от соответствующих дорог. 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……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5. Минимальные расстояния от оси газопроводов до зданий и сооружений при надземной прокладке, предусмотренные в поз.1, следует принимать увеличенными в 2 раза, в поз.2-6, 8-10 и 13 - в 1,5 раза. Данное требование относится к участкам надземной прокладки протяженностью свыше 150 м.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6. Расстояния до объектов, отсутствующих в данной таблице, следует принимать по согласованию с соответствующими органами Государственного надзора и заинтересованными организациями.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……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8. При надземной прокладке нефтепроводов и нефтепродуктопроводов допускаемые минимальные расстояния от населенных пунктов, промышленных предприятий, зданий и сооружений до оси трубопроводов следует принимать по табл.4* как для подземных нефтепроводов, но не менее 50 м.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……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24" w:firstLine="568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 Знак "-" в таблице означает, что расстояние не регламентируется.</w:t>
            </w:r>
          </w:p>
        </w:tc>
      </w:tr>
    </w:tbl>
    <w:p>
      <w:pPr>
        <w:pStyle w:val="Style19"/>
        <w:widowControl w:val="false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9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RMATTEXT"/>
        <w:bidi w:val="0"/>
        <w:ind w:start="0" w:end="0" w:firstLine="568"/>
        <w:jc w:val="both"/>
        <w:rPr/>
      </w:pPr>
      <w:r>
        <w:rPr>
          <w:rFonts w:cs="Times New Roman" w:ascii="Times New Roman" w:hAnsi="Times New Roman"/>
        </w:rPr>
        <w:t>3.17. Расстояния от КС, ГРС, НПС газопроводов, нефтепроводов, нефтепродуктопроводов или конденсатопроводов до населенных пунктов, промышленных предприятий,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безопасности, но не менее значений, указанных в табл.5*.</w:t>
      </w:r>
    </w:p>
    <w:p>
      <w:pPr>
        <w:pStyle w:val="FORMATTEXT"/>
        <w:bidi w:val="0"/>
        <w:ind w:start="0" w:end="0" w:firstLine="56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RMATTEXT"/>
        <w:bidi w:val="0"/>
        <w:ind w:start="0" w:end="0" w:hanging="0"/>
        <w:jc w:val="end"/>
        <w:rPr/>
      </w:pPr>
      <w:r>
        <w:rPr>
          <w:rFonts w:cs="Times New Roman" w:ascii="Times New Roman" w:hAnsi="Times New Roman"/>
        </w:rPr>
        <w:t>Таблица 5*</w:t>
      </w:r>
    </w:p>
    <w:tbl>
      <w:tblPr>
        <w:tblW w:w="10305" w:type="dxa"/>
        <w:jc w:val="start"/>
        <w:tblInd w:w="-488" w:type="dxa"/>
        <w:tblLayout w:type="fixed"/>
        <w:tblCellMar>
          <w:top w:w="114" w:type="dxa"/>
          <w:start w:w="28" w:type="dxa"/>
          <w:bottom w:w="114" w:type="dxa"/>
          <w:end w:w="28" w:type="dxa"/>
        </w:tblCellMar>
      </w:tblPr>
      <w:tblGrid>
        <w:gridCol w:w="4395"/>
        <w:gridCol w:w="569"/>
        <w:gridCol w:w="16"/>
        <w:gridCol w:w="44"/>
        <w:gridCol w:w="496"/>
        <w:gridCol w:w="14"/>
        <w:gridCol w:w="46"/>
        <w:gridCol w:w="510"/>
        <w:gridCol w:w="30"/>
        <w:gridCol w:w="30"/>
        <w:gridCol w:w="494"/>
        <w:gridCol w:w="16"/>
        <w:gridCol w:w="569"/>
        <w:gridCol w:w="30"/>
        <w:gridCol w:w="570"/>
        <w:gridCol w:w="16"/>
        <w:gridCol w:w="30"/>
        <w:gridCol w:w="524"/>
        <w:gridCol w:w="45"/>
        <w:gridCol w:w="16"/>
        <w:gridCol w:w="495"/>
        <w:gridCol w:w="15"/>
        <w:gridCol w:w="14"/>
        <w:gridCol w:w="421"/>
        <w:gridCol w:w="30"/>
        <w:gridCol w:w="14"/>
        <w:gridCol w:w="386"/>
        <w:gridCol w:w="65"/>
        <w:gridCol w:w="15"/>
        <w:gridCol w:w="389"/>
      </w:tblGrid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Объекты, здания и сооружения</w:t>
            </w:r>
          </w:p>
        </w:tc>
        <w:tc>
          <w:tcPr>
            <w:tcW w:w="5909" w:type="dxa"/>
            <w:gridSpan w:val="2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Минимальные расстояния, м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560" w:type="dxa"/>
            <w:gridSpan w:val="2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 КС и ГРС </w:t>
            </w:r>
          </w:p>
        </w:tc>
        <w:tc>
          <w:tcPr>
            <w:tcW w:w="1349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 НПС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gridSpan w:val="2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Класс газопровода </w:t>
            </w:r>
          </w:p>
        </w:tc>
        <w:tc>
          <w:tcPr>
            <w:tcW w:w="1349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Категория НПС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3434" w:type="dxa"/>
            <w:gridSpan w:val="1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 </w:t>
            </w:r>
          </w:p>
        </w:tc>
        <w:tc>
          <w:tcPr>
            <w:tcW w:w="1126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III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II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560" w:type="dxa"/>
            <w:gridSpan w:val="20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Условный диаметр газопровода, мм </w:t>
            </w:r>
          </w:p>
        </w:tc>
        <w:tc>
          <w:tcPr>
            <w:tcW w:w="450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30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 и ме-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нее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св. 300 до 600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св. 600 до 800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св. 800 до 1000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св. 1000 до 1200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св. 1200 до 1400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 и ме-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нее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св. 300 </w:t>
            </w:r>
          </w:p>
        </w:tc>
        <w:tc>
          <w:tcPr>
            <w:tcW w:w="450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30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Города и другие населенные пункты; коллективные сады с садовыми домиками, дачные поселки; отдельные промышленные и сельскохозяйственные предприятия,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свыше 20; установки комплексной подготовки нефти и газа и их групповые и сборные пункты; отдельно стоящие здания с массовым скоплением людей (школы, больницы, клубы, детские сады и ясли, вокзалы и т.д.) ; жилые здания 3-этажные и выше; железнодорожные станции; аэропорты; морские и речные порты и пристани; гидроэлектростанции; гидротехнические сооружения морского и речного транспорта I-IV классов; мачты (башни) и сооружения многоканальной радиорелейной линии технологической связи трубопроводов; мачты (башни) и сооружения многоканальной радиорелейной связи Министерства связи России и других ведомств; телевизионные башни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350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125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Мосты железных дорог общей сети и автомобильных дорог I и II категорий с пролетом свыше 20 м (при прокладке нефтепроводов и нефтепродуктопроводов ниже мостов по течению); склады легковоспламеняющихся и горючих жидкостей и газов c объемом хранения свыше 1000 м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; автозаправочные станции; водопроводные сооружения, не относящиеся к магистральному трубопроводу </w:t>
            </w:r>
          </w:p>
          <w:p>
            <w:pPr>
              <w:pStyle w:val="Style19"/>
              <w:widowControl w:val="false"/>
              <w:bidi w:val="0"/>
              <w:ind w:start="0" w:end="113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   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400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450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Железные дороги общей сети (на перегонах) и автодороги I-III категорий; отдельно стоящие: жилые здания 1-2-этажные; дома линейных обходчиков; кладбища; сельскохозяйственные фермы и огороженные участки для организованного выпаса скота; полевые станы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75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4. Мосты железных дорог промышленных предприятий, автомобильных дорог III-V, III-п и IV-п категорий с пролетом свыше 20 м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125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350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125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5. Железные дороги промышленных предприятий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75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175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6. Автомобильные дороги III-п, IV, IV-п и V категорий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75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175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200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100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69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56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70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70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99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7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70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56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1349" w:type="dxa"/>
            <w:gridSpan w:val="9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(но не менее 100 м от ближайшего наземного резервуара, резервуар- ного парка)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7. Отдельно стоящие нежилые и подсобные строения (сараи и т.п.); устья бурящихся и эксплуатируемых нефтяных, газовых и артезианских скважин; гаражи и открытые стоянки для автомобилей индивидуальных владельцев на 20 автомобилей и менее; очистные сооружения и насосные станции канализации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75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150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200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225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250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50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75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94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8. Открытые распределительные устройства 35, 110, 220 кВ электроподстанций, питающих КС и НПС магистральных трубопроводов и других потребителей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94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9. Открытые распределительные устройства 35, 100, 220 кВ электроподстанций, питающих КС и НПС магистральных трубопроводов </w:t>
            </w:r>
          </w:p>
        </w:tc>
        <w:tc>
          <w:tcPr>
            <w:tcW w:w="5909" w:type="dxa"/>
            <w:gridSpan w:val="2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 территории КС и НПС с соблюдением взрыво- и пожаробезопасных разрывов от зданий и сооружений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10. Лесные массивы пород: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61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а) хвойных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б) лиственных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30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 Вертодромы и посадочные площадки без базирования на них вертолетов: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61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469" w:type="dxa"/>
            <w:gridSpan w:val="3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тяжелых типа МИ-6, МИ-10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средних типа МИ-4, МИ-8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легких типа МИ-2, КА-26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200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250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75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(высота зданий и сооружений трубопроводов, находящихся в полосе воздушных подходов вертолетов, не должна превышать размера плоскости ограничения высоты препятствий согласно требованиям нормативных документов МГА, утвержденных в установленном порядке)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54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8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24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85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61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9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526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65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00" w:type="dxa"/>
            <w:gridSpan w:val="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  <w:tc>
          <w:tcPr>
            <w:tcW w:w="469" w:type="dxa"/>
            <w:gridSpan w:val="3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bidi w:val="0"/>
              <w:ind w:start="0" w:end="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  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113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12*. Специальные предприятия, сооружения, площадки, охраняемые зоны, склады взрывчатых и взрывоопасных веществ; карьеры полезных ископаемых, добыча на которых производится с применением взрывных работ; склады сжиженных горючих газов </w:t>
            </w:r>
          </w:p>
        </w:tc>
        <w:tc>
          <w:tcPr>
            <w:tcW w:w="5909" w:type="dxa"/>
            <w:gridSpan w:val="2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 соответствии с требованиями специальных нормативных документов, утвержденных в установленном порядке, и по согласованию с органами государственного надзора, министерствами и ведомствами, в ведении которых находятся указанные объекты </w:t>
            </w:r>
          </w:p>
        </w:tc>
      </w:tr>
      <w:tr>
        <w:trPr/>
        <w:tc>
          <w:tcPr>
            <w:tcW w:w="4395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13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 Воздушные линии электропередачи высокого напряжения</w:t>
            </w:r>
          </w:p>
        </w:tc>
        <w:tc>
          <w:tcPr>
            <w:tcW w:w="5909" w:type="dxa"/>
            <w:gridSpan w:val="29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 соответствии с требованиями "Правил устройства электроустановок", утвержденных Минэнерго СССР </w:t>
            </w:r>
          </w:p>
        </w:tc>
      </w:tr>
      <w:tr>
        <w:trPr/>
        <w:tc>
          <w:tcPr>
            <w:tcW w:w="439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0" w:end="113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14. Факел для сжигания газа </w:t>
            </w:r>
          </w:p>
        </w:tc>
        <w:tc>
          <w:tcPr>
            <w:tcW w:w="62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6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646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8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52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46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3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0" w:end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 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  </w:t>
            </w:r>
          </w:p>
        </w:tc>
      </w:tr>
      <w:tr>
        <w:trPr/>
        <w:tc>
          <w:tcPr>
            <w:tcW w:w="10304" w:type="dxa"/>
            <w:gridSpan w:val="30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* Примечания: 1. Расстояния, указанные над чертой, относятся к КС, под чертой - к ГРС.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2. Примечания 1-3 к табл.4* распространяются и на данную таблицу.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>3. Категории НПС надлежит принимать:      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>I категория - при емкости резервуарного парка свыше 100000 м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>;     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II категория -   "           "                     "                   "             "    20000 до 100 000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включ.;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III категория -  "           "                     "                   "            до    20000 </w:t>
            </w:r>
            <w:r>
              <w:rPr>
                <w:rFonts w:cs="Times New Roman" w:ascii="Times New Roman" w:hAnsi="Times New Roman"/>
              </w:rPr>
              <w:t>м</w:t>
            </w:r>
            <w:r>
              <w:rPr>
                <w:rFonts w:cs="Times New Roman" w:ascii="Times New Roman" w:hAnsi="Times New Roman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 НПС без резервуарных парков. 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rPr/>
            </w:pPr>
            <w:r>
              <w:rPr>
                <w:rFonts w:cs="Times New Roman" w:ascii="Times New Roman" w:hAnsi="Times New Roman"/>
              </w:rPr>
              <w:t>     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   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 Расстояния следует принимать: для зданий и сооружений по поз.1 - от здания компрессорного цеха; для НПС, ГРС и зданий и сооружений по поз.1-14 и для КС по поз.2-14 - от ограды станций. </w:t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5. Мачты (башни) радиорелейной линии связи трубопроводов допускается располагать на территории КС и НПС, при этом расстояние от места установки мачт до технологического оборудования должно быть не менее высоты мачты.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6. Мачты (башни) малоканальной необслуживаемой радиорелейной связи допускается располагать на территории ГРС, при этом расстояние от места установки мачты до технологического оборудования газораспределительных станций должно быть не менее высоты мачты.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7. НПС должна располагаться, как правило, ниже отметок населенных пунктов и других объектов. При разработке соответствующих мероприятий, предотвращающих разлив нефти или нефтепродуктов при аварии, допускается располагать указанные станции на одинаковых отметках или выше населенных пунктов и промышленных предприятий. 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FORMATTEXT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</w:rPr>
              <w:t>8. Знак "-" в таблице означает, что расстояние не регламентируется.</w:t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start="114" w:end="70" w:firstLine="284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9*. При размещении на ГРС и  КС одоризационных установок расстояние от них до населенных пунктов  следует принимать  с учетом предельно допустимых концентраций вредных веществ в атмосфере воздуха населенных пунктов, установленных Минздравом России.</w:t>
            </w:r>
          </w:p>
        </w:tc>
      </w:tr>
    </w:tbl>
    <w:p>
      <w:pPr>
        <w:pStyle w:val="Style19"/>
        <w:widowControl w:val="false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RMATTEXT"/>
        <w:bidi w:val="0"/>
        <w:ind w:start="0" w:end="0" w:hanging="0"/>
        <w:rPr/>
      </w:pPr>
      <w:r>
        <w:rPr>
          <w:rFonts w:cs="Times New Roman" w:ascii="Times New Roman" w:hAnsi="Times New Roman"/>
        </w:rPr>
        <w:t>     </w:t>
      </w:r>
    </w:p>
    <w:p>
      <w:pPr>
        <w:pStyle w:val="FORMATTEXT"/>
        <w:bidi w:val="0"/>
        <w:ind w:start="0" w:end="0" w:hanging="0"/>
        <w:rPr/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417" w:right="850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LBOTTOM">
    <w:name w:val="#COL_BOTTOM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COLTOP">
    <w:name w:val="#COL_TOP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PRINTSECTION">
    <w:name w:val="#PRINT_SECTION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Style19">
    <w:name w:val=".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A4WIDTH">
    <w:name w:val=".A4WIDTH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CENTERTEXT">
    <w:name w:val=".CENTERTEX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CONTAINER">
    <w:name w:val=".CONTAINER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CONTENT">
    <w:name w:val=".CONTEN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DJVU">
    <w:name w:val=".DJVU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EMPTYLINE">
    <w:name w:val=".EMPTY_LIN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HEADERTEXT">
    <w:name w:val=".HEADERTEX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2B4279"/>
      <w:kern w:val="2"/>
      <w:sz w:val="20"/>
      <w:szCs w:val="20"/>
      <w:lang w:val="ru-RU" w:eastAsia="ru-RU" w:bidi="ar-SA"/>
    </w:rPr>
  </w:style>
  <w:style w:type="paragraph" w:styleId="HORIZLINE">
    <w:name w:val=".HORIZLIN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IMAGE">
    <w:name w:val=".IMAG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MIDDLEPICT">
    <w:name w:val=".MIDDLEPIC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TOPLEVELTEXT">
    <w:name w:val=".TOPLEVELTEXT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UNFORMATTEXT">
    <w:name w:val=".UNFORMATTEXT"/>
    <w:qFormat/>
    <w:pPr>
      <w:widowControl w:val="false"/>
      <w:bidi w:val="0"/>
      <w:jc w:val="star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PAGE">
    <w:name w:val="@PAG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BODY">
    <w:name w:val="BODY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HTML">
    <w:name w:val="HTML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TABLE">
    <w:name w:val="TABL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LibreOffice/7.1.6.2.0$Linux_X86_64 LibreOffice_project/10$Build-2</Application>
  <AppVersion>15.0000</AppVersion>
  <Pages>6</Pages>
  <Words>2233</Words>
  <Characters>13006</Characters>
  <CharactersWithSpaces>15503</CharactersWithSpaces>
  <Paragraphs>681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2017-06-06T15:58:00Z</dcterms:created>
  <dc:creator>Аносенко Сергей Иванович</dc:creator>
  <dc:description/>
  <dc:language>ru-RU</dc:language>
  <cp:lastModifiedBy/>
  <dcterms:modified xsi:type="dcterms:W3CDTF">2017-06-07T08:29:00Z</dcterms:modified>
  <cp:revision>11</cp:revision>
  <dc:subject/>
  <dc:title>СНиП 2.05.06-85* Магистральные трубопроводы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Аносенко Сергей Иванович</vt:lpwstr>
  </property>
</Properties>
</file>