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2A" w:rsidRPr="003A35A4" w:rsidRDefault="00ED1D2A" w:rsidP="00ED1D2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ПРОТОКОЛ</w:t>
      </w:r>
    </w:p>
    <w:p w:rsidR="00ED1D2A" w:rsidRPr="003B0AAC" w:rsidRDefault="00ED1D2A" w:rsidP="00ED1D2A">
      <w:pPr>
        <w:spacing w:after="0" w:line="240" w:lineRule="auto"/>
        <w:jc w:val="center"/>
        <w:rPr>
          <w:rFonts w:ascii="Times New Roman" w:hAnsi="Times New Roman" w:cs="Times New Roman"/>
          <w:sz w:val="28"/>
          <w:szCs w:val="28"/>
        </w:rPr>
      </w:pPr>
      <w:r w:rsidRPr="003B0AAC">
        <w:rPr>
          <w:rFonts w:ascii="Times New Roman" w:hAnsi="Times New Roman" w:cs="Times New Roman"/>
          <w:sz w:val="28"/>
          <w:szCs w:val="28"/>
        </w:rPr>
        <w:t>публичных слушаний</w:t>
      </w:r>
    </w:p>
    <w:p w:rsidR="00ED1D2A" w:rsidRPr="003B0AAC" w:rsidRDefault="00ED1D2A" w:rsidP="00ED1D2A">
      <w:pPr>
        <w:spacing w:after="0" w:line="240" w:lineRule="auto"/>
        <w:rPr>
          <w:rFonts w:ascii="Times New Roman" w:hAnsi="Times New Roman" w:cs="Times New Roman"/>
          <w:sz w:val="28"/>
          <w:szCs w:val="28"/>
        </w:rPr>
      </w:pPr>
    </w:p>
    <w:p w:rsidR="00ED1D2A" w:rsidRPr="003B0AAC" w:rsidRDefault="00ED1D2A" w:rsidP="00ED1D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85045">
        <w:rPr>
          <w:rFonts w:ascii="Times New Roman" w:hAnsi="Times New Roman" w:cs="Times New Roman"/>
          <w:sz w:val="28"/>
          <w:szCs w:val="28"/>
        </w:rPr>
        <w:t>3</w:t>
      </w:r>
      <w:r>
        <w:rPr>
          <w:rFonts w:ascii="Times New Roman" w:hAnsi="Times New Roman" w:cs="Times New Roman"/>
          <w:sz w:val="28"/>
          <w:szCs w:val="28"/>
        </w:rPr>
        <w:t xml:space="preserve"> мая 201</w:t>
      </w:r>
      <w:r w:rsidR="00C23CA6">
        <w:rPr>
          <w:rFonts w:ascii="Times New Roman" w:hAnsi="Times New Roman" w:cs="Times New Roman"/>
          <w:sz w:val="28"/>
          <w:szCs w:val="28"/>
        </w:rPr>
        <w:t>7</w:t>
      </w:r>
      <w:r w:rsidRPr="003B0AAC">
        <w:rPr>
          <w:rFonts w:ascii="Times New Roman" w:hAnsi="Times New Roman" w:cs="Times New Roman"/>
          <w:sz w:val="28"/>
          <w:szCs w:val="28"/>
        </w:rPr>
        <w:t xml:space="preserve"> года </w:t>
      </w:r>
      <w:r w:rsidR="005523BD">
        <w:rPr>
          <w:rFonts w:ascii="Times New Roman" w:hAnsi="Times New Roman" w:cs="Times New Roman"/>
          <w:sz w:val="28"/>
          <w:szCs w:val="28"/>
        </w:rPr>
        <w:t xml:space="preserve">                                                        </w:t>
      </w:r>
      <w:r w:rsidRPr="003B0AAC">
        <w:rPr>
          <w:rFonts w:ascii="Times New Roman" w:hAnsi="Times New Roman" w:cs="Times New Roman"/>
          <w:sz w:val="28"/>
          <w:szCs w:val="28"/>
        </w:rPr>
        <w:t>Начало: 1</w:t>
      </w:r>
      <w:r>
        <w:rPr>
          <w:rFonts w:ascii="Times New Roman" w:hAnsi="Times New Roman" w:cs="Times New Roman"/>
          <w:sz w:val="28"/>
          <w:szCs w:val="28"/>
        </w:rPr>
        <w:t>0</w:t>
      </w:r>
      <w:r w:rsidRPr="003B0AAC">
        <w:rPr>
          <w:rFonts w:ascii="Times New Roman" w:hAnsi="Times New Roman" w:cs="Times New Roman"/>
          <w:sz w:val="28"/>
          <w:szCs w:val="28"/>
        </w:rPr>
        <w:t xml:space="preserve"> часов 00 минут </w:t>
      </w:r>
    </w:p>
    <w:p w:rsidR="00ED1D2A" w:rsidRPr="003B0AAC" w:rsidRDefault="00BC6CD5" w:rsidP="00ED1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ст-ца </w:t>
      </w:r>
      <w:r w:rsidR="00ED1D2A" w:rsidRPr="003B0AAC">
        <w:rPr>
          <w:rFonts w:ascii="Times New Roman" w:hAnsi="Times New Roman" w:cs="Times New Roman"/>
          <w:sz w:val="28"/>
          <w:szCs w:val="28"/>
        </w:rPr>
        <w:t>Курская</w:t>
      </w:r>
    </w:p>
    <w:p w:rsidR="00ED1D2A" w:rsidRPr="003B0AAC" w:rsidRDefault="00ED1D2A" w:rsidP="00ED1D2A">
      <w:pPr>
        <w:spacing w:after="0" w:line="240" w:lineRule="auto"/>
        <w:rPr>
          <w:rFonts w:ascii="Times New Roman" w:hAnsi="Times New Roman" w:cs="Times New Roman"/>
          <w:sz w:val="28"/>
          <w:szCs w:val="28"/>
        </w:rPr>
      </w:pPr>
    </w:p>
    <w:p w:rsidR="00ED1D2A" w:rsidRPr="003B0AAC" w:rsidRDefault="00ED1D2A" w:rsidP="00ED1D2A">
      <w:pPr>
        <w:spacing w:after="0" w:line="240" w:lineRule="auto"/>
        <w:rPr>
          <w:rFonts w:ascii="Times New Roman" w:hAnsi="Times New Roman" w:cs="Times New Roman"/>
          <w:sz w:val="28"/>
          <w:szCs w:val="28"/>
        </w:rPr>
      </w:pPr>
      <w:r w:rsidRPr="003B0AAC">
        <w:rPr>
          <w:rFonts w:ascii="Times New Roman" w:hAnsi="Times New Roman" w:cs="Times New Roman"/>
          <w:sz w:val="28"/>
          <w:szCs w:val="28"/>
        </w:rPr>
        <w:t>Место проведения: администраци</w:t>
      </w:r>
      <w:r>
        <w:rPr>
          <w:rFonts w:ascii="Times New Roman" w:hAnsi="Times New Roman" w:cs="Times New Roman"/>
          <w:sz w:val="28"/>
          <w:szCs w:val="28"/>
        </w:rPr>
        <w:t>я</w:t>
      </w:r>
      <w:r w:rsidRPr="003B0AAC">
        <w:rPr>
          <w:rFonts w:ascii="Times New Roman" w:hAnsi="Times New Roman" w:cs="Times New Roman"/>
          <w:sz w:val="28"/>
          <w:szCs w:val="28"/>
        </w:rPr>
        <w:t xml:space="preserve"> Курского</w:t>
      </w:r>
      <w:r>
        <w:rPr>
          <w:rFonts w:ascii="Times New Roman" w:hAnsi="Times New Roman" w:cs="Times New Roman"/>
          <w:sz w:val="28"/>
          <w:szCs w:val="28"/>
        </w:rPr>
        <w:t xml:space="preserve"> муниципального района Ставропольского края </w:t>
      </w:r>
    </w:p>
    <w:p w:rsidR="00ED1D2A" w:rsidRPr="003B0AAC" w:rsidRDefault="00ED1D2A" w:rsidP="00ED1D2A">
      <w:pPr>
        <w:spacing w:after="0" w:line="240" w:lineRule="auto"/>
        <w:jc w:val="center"/>
        <w:rPr>
          <w:rFonts w:ascii="Times New Roman" w:hAnsi="Times New Roman" w:cs="Times New Roman"/>
          <w:sz w:val="28"/>
          <w:szCs w:val="28"/>
        </w:rPr>
      </w:pPr>
    </w:p>
    <w:p w:rsidR="00ED1D2A" w:rsidRPr="003B0AAC" w:rsidRDefault="00ED1D2A" w:rsidP="00ED1D2A">
      <w:pPr>
        <w:spacing w:after="0" w:line="240" w:lineRule="auto"/>
        <w:rPr>
          <w:rFonts w:ascii="Times New Roman" w:eastAsia="Times New Roman" w:hAnsi="Times New Roman" w:cs="Times New Roman"/>
          <w:sz w:val="28"/>
          <w:szCs w:val="28"/>
        </w:rPr>
      </w:pPr>
      <w:r w:rsidRPr="003B0AAC">
        <w:rPr>
          <w:rFonts w:ascii="Times New Roman" w:eastAsia="Times New Roman" w:hAnsi="Times New Roman" w:cs="Times New Roman"/>
          <w:sz w:val="28"/>
          <w:szCs w:val="28"/>
        </w:rPr>
        <w:t>Организатор публичных слушаний:</w:t>
      </w:r>
    </w:p>
    <w:p w:rsidR="00ED1D2A" w:rsidRDefault="00ED1D2A" w:rsidP="00ED1D2A">
      <w:pPr>
        <w:spacing w:after="0" w:line="240" w:lineRule="auto"/>
        <w:rPr>
          <w:rFonts w:ascii="Times New Roman" w:eastAsia="Times New Roman" w:hAnsi="Times New Roman" w:cs="Times New Roman"/>
          <w:sz w:val="28"/>
          <w:szCs w:val="28"/>
        </w:rPr>
      </w:pPr>
      <w:r w:rsidRPr="003B0AAC">
        <w:rPr>
          <w:rFonts w:ascii="Times New Roman" w:eastAsia="Times New Roman" w:hAnsi="Times New Roman" w:cs="Times New Roman"/>
          <w:sz w:val="28"/>
          <w:szCs w:val="28"/>
        </w:rPr>
        <w:t>Комиссия по бюджету, экономической политике, налогам, собственности и инвестициям совета Курского муниципального района Ставропольского края</w:t>
      </w:r>
    </w:p>
    <w:tbl>
      <w:tblPr>
        <w:tblStyle w:val="a3"/>
        <w:tblpPr w:leftFromText="180" w:rightFromText="180" w:vertAnchor="text" w:horzAnchor="margin" w:tblpY="277"/>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3"/>
        <w:gridCol w:w="2360"/>
        <w:gridCol w:w="310"/>
        <w:gridCol w:w="5001"/>
      </w:tblGrid>
      <w:tr w:rsidR="00B62286" w:rsidRPr="003B0AAC" w:rsidTr="00B62286">
        <w:tc>
          <w:tcPr>
            <w:tcW w:w="1933" w:type="dxa"/>
          </w:tcPr>
          <w:p w:rsidR="00B62286" w:rsidRPr="003B0AAC" w:rsidRDefault="00B62286" w:rsidP="00B62286">
            <w:pPr>
              <w:spacing w:line="240" w:lineRule="exact"/>
              <w:rPr>
                <w:sz w:val="28"/>
                <w:szCs w:val="28"/>
              </w:rPr>
            </w:pPr>
            <w:r w:rsidRPr="003B0AAC">
              <w:rPr>
                <w:sz w:val="28"/>
                <w:szCs w:val="28"/>
              </w:rPr>
              <w:t>Председатель:</w:t>
            </w:r>
          </w:p>
        </w:tc>
        <w:tc>
          <w:tcPr>
            <w:tcW w:w="2360" w:type="dxa"/>
          </w:tcPr>
          <w:p w:rsidR="00B62286" w:rsidRPr="003B0AAC" w:rsidRDefault="00B62286" w:rsidP="005D337F">
            <w:pPr>
              <w:spacing w:line="240" w:lineRule="exact"/>
              <w:rPr>
                <w:sz w:val="28"/>
                <w:szCs w:val="28"/>
              </w:rPr>
            </w:pPr>
            <w:r>
              <w:rPr>
                <w:sz w:val="28"/>
                <w:szCs w:val="28"/>
              </w:rPr>
              <w:t xml:space="preserve"> </w:t>
            </w:r>
            <w:r w:rsidR="005D337F">
              <w:rPr>
                <w:sz w:val="28"/>
                <w:szCs w:val="28"/>
              </w:rPr>
              <w:t>Цикишев Н.В.</w:t>
            </w:r>
          </w:p>
        </w:tc>
        <w:tc>
          <w:tcPr>
            <w:tcW w:w="310" w:type="dxa"/>
          </w:tcPr>
          <w:p w:rsidR="00B62286" w:rsidRPr="003B0AAC" w:rsidRDefault="00B62286" w:rsidP="00B62286">
            <w:pPr>
              <w:spacing w:line="240" w:lineRule="exact"/>
              <w:jc w:val="center"/>
              <w:rPr>
                <w:sz w:val="28"/>
                <w:szCs w:val="28"/>
              </w:rPr>
            </w:pPr>
            <w:r w:rsidRPr="003B0AAC">
              <w:rPr>
                <w:sz w:val="28"/>
                <w:szCs w:val="28"/>
              </w:rPr>
              <w:t>-</w:t>
            </w:r>
          </w:p>
        </w:tc>
        <w:tc>
          <w:tcPr>
            <w:tcW w:w="5001" w:type="dxa"/>
          </w:tcPr>
          <w:p w:rsidR="00B62286" w:rsidRPr="003B0AAC" w:rsidRDefault="00B62286" w:rsidP="00B62286">
            <w:pPr>
              <w:spacing w:line="240" w:lineRule="exact"/>
              <w:rPr>
                <w:sz w:val="28"/>
                <w:szCs w:val="28"/>
              </w:rPr>
            </w:pPr>
            <w:r w:rsidRPr="003B0AAC">
              <w:rPr>
                <w:sz w:val="28"/>
                <w:szCs w:val="28"/>
              </w:rPr>
              <w:t>председател</w:t>
            </w:r>
            <w:r w:rsidR="005D337F">
              <w:rPr>
                <w:sz w:val="28"/>
                <w:szCs w:val="28"/>
              </w:rPr>
              <w:t>ь</w:t>
            </w:r>
            <w:r w:rsidRPr="003B0AAC">
              <w:rPr>
                <w:sz w:val="28"/>
                <w:szCs w:val="28"/>
              </w:rPr>
              <w:t xml:space="preserve"> комиссии по бюджету, экономической политике, налогам, собственности и инвестициям совета Курского муниципального района Ставропольского края </w:t>
            </w:r>
          </w:p>
          <w:p w:rsidR="00B62286" w:rsidRPr="003B0AAC" w:rsidRDefault="00B62286" w:rsidP="00B62286">
            <w:pPr>
              <w:spacing w:line="240" w:lineRule="exact"/>
              <w:jc w:val="both"/>
              <w:rPr>
                <w:sz w:val="28"/>
                <w:szCs w:val="28"/>
              </w:rPr>
            </w:pPr>
          </w:p>
          <w:p w:rsidR="00B62286" w:rsidRPr="003B0AAC" w:rsidRDefault="00B62286" w:rsidP="00B62286">
            <w:pPr>
              <w:spacing w:line="240" w:lineRule="exact"/>
              <w:jc w:val="center"/>
              <w:rPr>
                <w:sz w:val="28"/>
                <w:szCs w:val="28"/>
              </w:rPr>
            </w:pPr>
          </w:p>
        </w:tc>
      </w:tr>
      <w:tr w:rsidR="00B62286" w:rsidRPr="003B0AAC" w:rsidTr="00B62286">
        <w:tc>
          <w:tcPr>
            <w:tcW w:w="1933" w:type="dxa"/>
          </w:tcPr>
          <w:p w:rsidR="00B62286" w:rsidRPr="003B0AAC" w:rsidRDefault="00B62286" w:rsidP="00B62286">
            <w:pPr>
              <w:spacing w:line="240" w:lineRule="exact"/>
              <w:rPr>
                <w:sz w:val="28"/>
                <w:szCs w:val="28"/>
              </w:rPr>
            </w:pPr>
            <w:r w:rsidRPr="003B0AAC">
              <w:rPr>
                <w:sz w:val="28"/>
                <w:szCs w:val="28"/>
              </w:rPr>
              <w:t>Секретарь:</w:t>
            </w:r>
          </w:p>
          <w:p w:rsidR="00B62286" w:rsidRPr="003B0AAC" w:rsidRDefault="00B62286" w:rsidP="00B62286">
            <w:pPr>
              <w:spacing w:line="240" w:lineRule="exact"/>
              <w:rPr>
                <w:sz w:val="28"/>
                <w:szCs w:val="28"/>
              </w:rPr>
            </w:pPr>
          </w:p>
        </w:tc>
        <w:tc>
          <w:tcPr>
            <w:tcW w:w="2360" w:type="dxa"/>
          </w:tcPr>
          <w:p w:rsidR="00B62286" w:rsidRPr="003B0AAC" w:rsidRDefault="006475A2" w:rsidP="006475A2">
            <w:pPr>
              <w:spacing w:line="240" w:lineRule="exact"/>
              <w:ind w:firstLine="61"/>
              <w:rPr>
                <w:sz w:val="28"/>
                <w:szCs w:val="28"/>
              </w:rPr>
            </w:pPr>
            <w:r>
              <w:rPr>
                <w:sz w:val="28"/>
                <w:szCs w:val="28"/>
              </w:rPr>
              <w:t>Бармина И.Н.</w:t>
            </w:r>
          </w:p>
        </w:tc>
        <w:tc>
          <w:tcPr>
            <w:tcW w:w="310" w:type="dxa"/>
          </w:tcPr>
          <w:p w:rsidR="00B62286" w:rsidRPr="003B0AAC" w:rsidRDefault="00B62286" w:rsidP="00B62286">
            <w:pPr>
              <w:spacing w:line="240" w:lineRule="exact"/>
              <w:jc w:val="center"/>
              <w:rPr>
                <w:sz w:val="28"/>
                <w:szCs w:val="28"/>
              </w:rPr>
            </w:pPr>
            <w:r w:rsidRPr="003B0AAC">
              <w:rPr>
                <w:sz w:val="28"/>
                <w:szCs w:val="28"/>
              </w:rPr>
              <w:t>-</w:t>
            </w:r>
          </w:p>
        </w:tc>
        <w:tc>
          <w:tcPr>
            <w:tcW w:w="5001" w:type="dxa"/>
          </w:tcPr>
          <w:p w:rsidR="00B62286" w:rsidRPr="003B0AAC" w:rsidRDefault="006475A2" w:rsidP="00B62286">
            <w:pPr>
              <w:spacing w:line="240" w:lineRule="exact"/>
              <w:rPr>
                <w:sz w:val="28"/>
                <w:szCs w:val="28"/>
              </w:rPr>
            </w:pPr>
            <w:r>
              <w:rPr>
                <w:sz w:val="28"/>
                <w:szCs w:val="28"/>
              </w:rPr>
              <w:t>ведущий специалист-юрисконсульт совета</w:t>
            </w:r>
            <w:r w:rsidR="00B62286">
              <w:rPr>
                <w:sz w:val="28"/>
                <w:szCs w:val="28"/>
              </w:rPr>
              <w:t xml:space="preserve"> Курского муниципального района Ставропольского края</w:t>
            </w:r>
          </w:p>
          <w:p w:rsidR="00B62286" w:rsidRPr="003B0AAC" w:rsidRDefault="00B62286" w:rsidP="00B62286">
            <w:pPr>
              <w:spacing w:line="240" w:lineRule="exact"/>
              <w:rPr>
                <w:sz w:val="28"/>
                <w:szCs w:val="28"/>
              </w:rPr>
            </w:pPr>
          </w:p>
        </w:tc>
      </w:tr>
    </w:tbl>
    <w:p w:rsidR="00ED1D2A" w:rsidRPr="003B0AAC" w:rsidRDefault="00ED1D2A" w:rsidP="00ED1D2A">
      <w:pPr>
        <w:spacing w:after="0" w:line="240" w:lineRule="exact"/>
        <w:rPr>
          <w:rFonts w:ascii="Times New Roman" w:hAnsi="Times New Roman" w:cs="Times New Roman"/>
          <w:sz w:val="28"/>
          <w:szCs w:val="28"/>
        </w:rPr>
      </w:pPr>
    </w:p>
    <w:p w:rsidR="00ED1D2A" w:rsidRDefault="00ED1D2A" w:rsidP="00ED1D2A">
      <w:pPr>
        <w:spacing w:after="0" w:line="240" w:lineRule="exact"/>
        <w:rPr>
          <w:rFonts w:ascii="Times New Roman" w:hAnsi="Times New Roman" w:cs="Times New Roman"/>
          <w:sz w:val="28"/>
          <w:szCs w:val="28"/>
        </w:rPr>
      </w:pPr>
    </w:p>
    <w:p w:rsidR="00ED1D2A" w:rsidRPr="003B0AAC" w:rsidRDefault="00ED1D2A" w:rsidP="00ED1D2A">
      <w:pPr>
        <w:spacing w:after="0" w:line="240" w:lineRule="auto"/>
        <w:rPr>
          <w:rFonts w:ascii="Times New Roman" w:hAnsi="Times New Roman" w:cs="Times New Roman"/>
          <w:sz w:val="28"/>
          <w:szCs w:val="28"/>
        </w:rPr>
      </w:pPr>
      <w:r w:rsidRPr="003B0AAC">
        <w:rPr>
          <w:rFonts w:ascii="Times New Roman" w:hAnsi="Times New Roman" w:cs="Times New Roman"/>
          <w:sz w:val="28"/>
          <w:szCs w:val="28"/>
        </w:rPr>
        <w:t xml:space="preserve">Присутствовало на публичных слушаниях – </w:t>
      </w:r>
      <w:r w:rsidR="00F85045">
        <w:rPr>
          <w:rFonts w:ascii="Times New Roman" w:hAnsi="Times New Roman" w:cs="Times New Roman"/>
          <w:sz w:val="28"/>
          <w:szCs w:val="28"/>
        </w:rPr>
        <w:t>38</w:t>
      </w:r>
      <w:r w:rsidRPr="003B0AAC">
        <w:rPr>
          <w:rFonts w:ascii="Times New Roman" w:hAnsi="Times New Roman" w:cs="Times New Roman"/>
          <w:sz w:val="28"/>
          <w:szCs w:val="28"/>
        </w:rPr>
        <w:t xml:space="preserve"> человек</w:t>
      </w:r>
      <w:r>
        <w:rPr>
          <w:rFonts w:ascii="Times New Roman" w:hAnsi="Times New Roman" w:cs="Times New Roman"/>
          <w:sz w:val="28"/>
          <w:szCs w:val="28"/>
        </w:rPr>
        <w:t>а</w:t>
      </w:r>
    </w:p>
    <w:p w:rsidR="00ED1D2A" w:rsidRPr="003B0AAC" w:rsidRDefault="00ED1D2A" w:rsidP="00ED1D2A">
      <w:pPr>
        <w:spacing w:after="0" w:line="240" w:lineRule="auto"/>
        <w:jc w:val="center"/>
        <w:rPr>
          <w:rFonts w:ascii="Times New Roman" w:hAnsi="Times New Roman" w:cs="Times New Roman"/>
          <w:b/>
          <w:sz w:val="28"/>
          <w:szCs w:val="28"/>
        </w:rPr>
      </w:pPr>
    </w:p>
    <w:p w:rsidR="00ED1D2A" w:rsidRPr="003B0AAC" w:rsidRDefault="00ED1D2A" w:rsidP="00ED1D2A">
      <w:pPr>
        <w:spacing w:after="0" w:line="240" w:lineRule="auto"/>
        <w:jc w:val="center"/>
        <w:rPr>
          <w:rFonts w:ascii="Times New Roman" w:hAnsi="Times New Roman" w:cs="Times New Roman"/>
          <w:b/>
          <w:sz w:val="28"/>
          <w:szCs w:val="28"/>
        </w:rPr>
      </w:pPr>
      <w:r w:rsidRPr="003B0AAC">
        <w:rPr>
          <w:rFonts w:ascii="Times New Roman" w:hAnsi="Times New Roman" w:cs="Times New Roman"/>
          <w:b/>
          <w:sz w:val="28"/>
          <w:szCs w:val="28"/>
        </w:rPr>
        <w:t xml:space="preserve">ПОВЕСТКА </w:t>
      </w:r>
      <w:r>
        <w:rPr>
          <w:rFonts w:ascii="Times New Roman" w:hAnsi="Times New Roman" w:cs="Times New Roman"/>
          <w:b/>
          <w:sz w:val="28"/>
          <w:szCs w:val="28"/>
        </w:rPr>
        <w:t>ЗАСЕДАНИЯ</w:t>
      </w:r>
      <w:r w:rsidRPr="003B0AAC">
        <w:rPr>
          <w:rFonts w:ascii="Times New Roman" w:hAnsi="Times New Roman" w:cs="Times New Roman"/>
          <w:b/>
          <w:sz w:val="28"/>
          <w:szCs w:val="28"/>
        </w:rPr>
        <w:t>:</w:t>
      </w:r>
    </w:p>
    <w:p w:rsidR="003B0AAC" w:rsidRPr="00D055C1" w:rsidRDefault="003B0AAC" w:rsidP="00FE5C80">
      <w:pPr>
        <w:pStyle w:val="a4"/>
        <w:jc w:val="both"/>
        <w:rPr>
          <w:sz w:val="28"/>
          <w:szCs w:val="28"/>
        </w:rPr>
      </w:pPr>
    </w:p>
    <w:p w:rsidR="005A202E" w:rsidRPr="00753152" w:rsidRDefault="005A202E" w:rsidP="00753152">
      <w:pPr>
        <w:pStyle w:val="a4"/>
        <w:jc w:val="both"/>
        <w:rPr>
          <w:sz w:val="28"/>
          <w:szCs w:val="28"/>
        </w:rPr>
      </w:pPr>
      <w:r w:rsidRPr="00753152">
        <w:rPr>
          <w:sz w:val="28"/>
          <w:szCs w:val="28"/>
        </w:rPr>
        <w:tab/>
      </w:r>
      <w:r w:rsidR="00462C13" w:rsidRPr="00753152">
        <w:rPr>
          <w:sz w:val="28"/>
          <w:szCs w:val="28"/>
        </w:rPr>
        <w:t xml:space="preserve">1. </w:t>
      </w:r>
      <w:r w:rsidR="00FF53A6" w:rsidRPr="00753152">
        <w:rPr>
          <w:sz w:val="28"/>
          <w:szCs w:val="28"/>
        </w:rPr>
        <w:t xml:space="preserve">Обсуждение </w:t>
      </w:r>
      <w:r w:rsidRPr="00753152">
        <w:rPr>
          <w:sz w:val="28"/>
          <w:szCs w:val="28"/>
        </w:rPr>
        <w:t xml:space="preserve">проекта решения совета Курского муниципального района Ставропольского края </w:t>
      </w:r>
      <w:r w:rsidR="00042533">
        <w:rPr>
          <w:sz w:val="28"/>
          <w:szCs w:val="28"/>
        </w:rPr>
        <w:t xml:space="preserve">«Об исполнении </w:t>
      </w:r>
      <w:r w:rsidR="00ED1D2A">
        <w:rPr>
          <w:sz w:val="28"/>
          <w:szCs w:val="28"/>
        </w:rPr>
        <w:t>бюджета Курского муниципального района Ставропольского края за 201</w:t>
      </w:r>
      <w:r w:rsidR="00F85045">
        <w:rPr>
          <w:sz w:val="28"/>
          <w:szCs w:val="28"/>
        </w:rPr>
        <w:t>6</w:t>
      </w:r>
      <w:r w:rsidR="00ED1D2A">
        <w:rPr>
          <w:sz w:val="28"/>
          <w:szCs w:val="28"/>
        </w:rPr>
        <w:t xml:space="preserve"> год»</w:t>
      </w:r>
      <w:r w:rsidR="00F85045">
        <w:rPr>
          <w:sz w:val="28"/>
          <w:szCs w:val="28"/>
        </w:rPr>
        <w:t xml:space="preserve"> </w:t>
      </w:r>
    </w:p>
    <w:p w:rsidR="003B0AAC" w:rsidRPr="00ED1D2A" w:rsidRDefault="003B0AAC" w:rsidP="00F85045">
      <w:pPr>
        <w:pStyle w:val="a4"/>
        <w:ind w:firstLine="708"/>
        <w:jc w:val="both"/>
        <w:rPr>
          <w:sz w:val="32"/>
          <w:szCs w:val="32"/>
        </w:rPr>
      </w:pPr>
      <w:r w:rsidRPr="00753152">
        <w:rPr>
          <w:b/>
          <w:sz w:val="28"/>
          <w:szCs w:val="28"/>
        </w:rPr>
        <w:t>Докладчик:</w:t>
      </w:r>
      <w:r w:rsidR="005E20F1">
        <w:rPr>
          <w:b/>
          <w:sz w:val="28"/>
          <w:szCs w:val="28"/>
        </w:rPr>
        <w:t xml:space="preserve"> </w:t>
      </w:r>
      <w:r w:rsidR="00F85045">
        <w:rPr>
          <w:sz w:val="28"/>
          <w:szCs w:val="28"/>
        </w:rPr>
        <w:t>Е.В.Мишина</w:t>
      </w:r>
      <w:r w:rsidR="00ED1D2A">
        <w:rPr>
          <w:sz w:val="28"/>
          <w:szCs w:val="28"/>
        </w:rPr>
        <w:t xml:space="preserve"> - </w:t>
      </w:r>
      <w:r w:rsidR="00ED1D2A" w:rsidRPr="00D35A81">
        <w:rPr>
          <w:sz w:val="28"/>
          <w:szCs w:val="28"/>
        </w:rPr>
        <w:t>начальник финансового управления администрации Курского муниципального района Ставропольского края</w:t>
      </w:r>
      <w:r w:rsidR="00042533">
        <w:rPr>
          <w:sz w:val="28"/>
          <w:szCs w:val="28"/>
        </w:rPr>
        <w:t>.</w:t>
      </w:r>
    </w:p>
    <w:p w:rsidR="005D337F" w:rsidRDefault="005D337F" w:rsidP="006E0F69">
      <w:pPr>
        <w:pStyle w:val="a4"/>
        <w:ind w:firstLine="708"/>
        <w:jc w:val="both"/>
        <w:rPr>
          <w:b/>
          <w:sz w:val="28"/>
          <w:szCs w:val="28"/>
        </w:rPr>
      </w:pPr>
    </w:p>
    <w:p w:rsidR="006E0F69" w:rsidRPr="00844DFC" w:rsidRDefault="005D337F" w:rsidP="006E0F69">
      <w:pPr>
        <w:pStyle w:val="a4"/>
        <w:ind w:firstLine="708"/>
        <w:jc w:val="both"/>
        <w:rPr>
          <w:sz w:val="28"/>
          <w:szCs w:val="28"/>
        </w:rPr>
      </w:pPr>
      <w:r>
        <w:rPr>
          <w:b/>
          <w:sz w:val="28"/>
          <w:szCs w:val="28"/>
        </w:rPr>
        <w:t>Цикишев Н.В.</w:t>
      </w:r>
      <w:r w:rsidR="005523BD">
        <w:rPr>
          <w:b/>
          <w:sz w:val="28"/>
          <w:szCs w:val="28"/>
        </w:rPr>
        <w:t xml:space="preserve">: </w:t>
      </w:r>
      <w:r w:rsidR="006E0F69" w:rsidRPr="00844DFC">
        <w:rPr>
          <w:sz w:val="28"/>
          <w:szCs w:val="28"/>
        </w:rPr>
        <w:t xml:space="preserve">Сегодня, мы проводим публичные слушания по обсуждению проекта решения совета Курского муниципального района Ставропольского края: </w:t>
      </w:r>
      <w:r w:rsidR="007E388F">
        <w:rPr>
          <w:sz w:val="28"/>
          <w:szCs w:val="28"/>
        </w:rPr>
        <w:t>«Об исполнении бюджета Курского муниципального района Ставропольского края за 201</w:t>
      </w:r>
      <w:r w:rsidR="00F85045">
        <w:rPr>
          <w:sz w:val="28"/>
          <w:szCs w:val="28"/>
        </w:rPr>
        <w:t>6</w:t>
      </w:r>
      <w:r w:rsidR="007E388F">
        <w:rPr>
          <w:sz w:val="28"/>
          <w:szCs w:val="28"/>
        </w:rPr>
        <w:t xml:space="preserve"> год»</w:t>
      </w:r>
      <w:r w:rsidR="006E0F69" w:rsidRPr="007E388F">
        <w:rPr>
          <w:sz w:val="28"/>
          <w:szCs w:val="28"/>
        </w:rPr>
        <w:t>.</w:t>
      </w:r>
    </w:p>
    <w:p w:rsidR="00BC6CD5" w:rsidRDefault="00BC6CD5" w:rsidP="007E388F">
      <w:pPr>
        <w:spacing w:after="0" w:line="240" w:lineRule="auto"/>
        <w:ind w:firstLine="709"/>
        <w:jc w:val="both"/>
        <w:rPr>
          <w:rFonts w:ascii="Times New Roman" w:hAnsi="Times New Roman" w:cs="Times New Roman"/>
          <w:sz w:val="28"/>
          <w:szCs w:val="28"/>
        </w:rPr>
      </w:pPr>
      <w:r w:rsidRPr="00BC6CD5">
        <w:rPr>
          <w:rFonts w:ascii="Times New Roman" w:hAnsi="Times New Roman" w:cs="Times New Roman"/>
          <w:sz w:val="28"/>
          <w:szCs w:val="28"/>
        </w:rPr>
        <w:t xml:space="preserve">Публичные слушания были назначены </w:t>
      </w:r>
      <w:r w:rsidR="00B62286">
        <w:rPr>
          <w:rFonts w:ascii="Times New Roman" w:hAnsi="Times New Roman" w:cs="Times New Roman"/>
          <w:sz w:val="28"/>
          <w:szCs w:val="28"/>
        </w:rPr>
        <w:t>р</w:t>
      </w:r>
      <w:r w:rsidR="00B62286" w:rsidRPr="00B62286">
        <w:rPr>
          <w:rFonts w:ascii="Times New Roman" w:hAnsi="Times New Roman" w:cs="Times New Roman"/>
          <w:sz w:val="28"/>
          <w:szCs w:val="28"/>
        </w:rPr>
        <w:t>ешением совета Курского муниципального района Ставропольского края от 2</w:t>
      </w:r>
      <w:r w:rsidR="00F85045">
        <w:rPr>
          <w:rFonts w:ascii="Times New Roman" w:hAnsi="Times New Roman" w:cs="Times New Roman"/>
          <w:sz w:val="28"/>
          <w:szCs w:val="28"/>
        </w:rPr>
        <w:t>6</w:t>
      </w:r>
      <w:r w:rsidR="00B62286" w:rsidRPr="00B62286">
        <w:rPr>
          <w:rFonts w:ascii="Times New Roman" w:hAnsi="Times New Roman" w:cs="Times New Roman"/>
          <w:sz w:val="28"/>
          <w:szCs w:val="28"/>
        </w:rPr>
        <w:t xml:space="preserve"> апреля 201</w:t>
      </w:r>
      <w:r w:rsidR="00C23CA6">
        <w:rPr>
          <w:rFonts w:ascii="Times New Roman" w:hAnsi="Times New Roman" w:cs="Times New Roman"/>
          <w:sz w:val="28"/>
          <w:szCs w:val="28"/>
        </w:rPr>
        <w:t>7</w:t>
      </w:r>
      <w:r w:rsidR="00B62286" w:rsidRPr="00B62286">
        <w:rPr>
          <w:rFonts w:ascii="Times New Roman" w:hAnsi="Times New Roman" w:cs="Times New Roman"/>
          <w:sz w:val="28"/>
          <w:szCs w:val="28"/>
        </w:rPr>
        <w:t xml:space="preserve"> г. № </w:t>
      </w:r>
      <w:r w:rsidR="00F85045">
        <w:rPr>
          <w:rFonts w:ascii="Times New Roman" w:hAnsi="Times New Roman" w:cs="Times New Roman"/>
          <w:sz w:val="28"/>
          <w:szCs w:val="28"/>
        </w:rPr>
        <w:t>354</w:t>
      </w:r>
      <w:r w:rsidR="00B62286" w:rsidRPr="00B62286">
        <w:rPr>
          <w:rFonts w:ascii="Times New Roman" w:hAnsi="Times New Roman" w:cs="Times New Roman"/>
          <w:sz w:val="28"/>
          <w:szCs w:val="28"/>
        </w:rPr>
        <w:t xml:space="preserve"> «О проекте решения совета Курского муниципального района Ставропольского края «Об исполнении бюджета Курского муниципального района Ставропольского края за 201</w:t>
      </w:r>
      <w:r w:rsidR="00F85045">
        <w:rPr>
          <w:rFonts w:ascii="Times New Roman" w:hAnsi="Times New Roman" w:cs="Times New Roman"/>
          <w:sz w:val="28"/>
          <w:szCs w:val="28"/>
        </w:rPr>
        <w:t>6</w:t>
      </w:r>
      <w:r w:rsidR="00B62286" w:rsidRPr="00B62286">
        <w:rPr>
          <w:rFonts w:ascii="Times New Roman" w:hAnsi="Times New Roman" w:cs="Times New Roman"/>
          <w:sz w:val="28"/>
          <w:szCs w:val="28"/>
        </w:rPr>
        <w:t xml:space="preserve"> год»</w:t>
      </w:r>
      <w:r w:rsidR="00B62286">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80652B">
        <w:rPr>
          <w:rFonts w:ascii="Times New Roman" w:hAnsi="Times New Roman" w:cs="Times New Roman"/>
          <w:sz w:val="28"/>
          <w:szCs w:val="28"/>
        </w:rPr>
        <w:t>2</w:t>
      </w:r>
      <w:r w:rsidR="00F85045">
        <w:rPr>
          <w:rFonts w:ascii="Times New Roman" w:hAnsi="Times New Roman" w:cs="Times New Roman"/>
          <w:sz w:val="28"/>
          <w:szCs w:val="28"/>
        </w:rPr>
        <w:t>3</w:t>
      </w:r>
      <w:r>
        <w:rPr>
          <w:rFonts w:ascii="Times New Roman" w:hAnsi="Times New Roman" w:cs="Times New Roman"/>
          <w:sz w:val="28"/>
          <w:szCs w:val="28"/>
        </w:rPr>
        <w:t xml:space="preserve"> </w:t>
      </w:r>
      <w:r w:rsidR="0080652B">
        <w:rPr>
          <w:rFonts w:ascii="Times New Roman" w:hAnsi="Times New Roman" w:cs="Times New Roman"/>
          <w:sz w:val="28"/>
          <w:szCs w:val="28"/>
        </w:rPr>
        <w:t>мая</w:t>
      </w:r>
      <w:r w:rsidRPr="00BC6CD5">
        <w:rPr>
          <w:rFonts w:ascii="Times New Roman" w:hAnsi="Times New Roman" w:cs="Times New Roman"/>
          <w:sz w:val="28"/>
          <w:szCs w:val="28"/>
        </w:rPr>
        <w:t xml:space="preserve"> 201</w:t>
      </w:r>
      <w:r w:rsidR="00C23CA6">
        <w:rPr>
          <w:rFonts w:ascii="Times New Roman" w:hAnsi="Times New Roman" w:cs="Times New Roman"/>
          <w:sz w:val="28"/>
          <w:szCs w:val="28"/>
        </w:rPr>
        <w:t>7</w:t>
      </w:r>
      <w:r w:rsidRPr="00BC6CD5">
        <w:rPr>
          <w:rFonts w:ascii="Times New Roman" w:hAnsi="Times New Roman" w:cs="Times New Roman"/>
          <w:sz w:val="28"/>
          <w:szCs w:val="28"/>
        </w:rPr>
        <w:t xml:space="preserve"> года.</w:t>
      </w:r>
    </w:p>
    <w:p w:rsidR="006E0F69" w:rsidRPr="006E0F69" w:rsidRDefault="006E0F69" w:rsidP="007E388F">
      <w:pPr>
        <w:spacing w:after="0" w:line="240" w:lineRule="auto"/>
        <w:ind w:firstLine="709"/>
        <w:jc w:val="both"/>
        <w:rPr>
          <w:rFonts w:ascii="Times New Roman" w:hAnsi="Times New Roman" w:cs="Times New Roman"/>
          <w:sz w:val="28"/>
          <w:szCs w:val="28"/>
        </w:rPr>
      </w:pPr>
      <w:r w:rsidRPr="006E0F69">
        <w:rPr>
          <w:rFonts w:ascii="Times New Roman" w:hAnsi="Times New Roman" w:cs="Times New Roman"/>
          <w:sz w:val="28"/>
          <w:szCs w:val="28"/>
        </w:rPr>
        <w:t xml:space="preserve">Проект решения совета Курского муниципального района Ставропольского края </w:t>
      </w:r>
      <w:r w:rsidR="007E388F" w:rsidRPr="007E388F">
        <w:rPr>
          <w:rFonts w:ascii="Times New Roman" w:hAnsi="Times New Roman" w:cs="Times New Roman"/>
          <w:sz w:val="28"/>
          <w:szCs w:val="28"/>
        </w:rPr>
        <w:t>«Об исполнении бюджета Курского муниципального района Ставропольского края за 201</w:t>
      </w:r>
      <w:r w:rsidR="00F85045">
        <w:rPr>
          <w:rFonts w:ascii="Times New Roman" w:hAnsi="Times New Roman" w:cs="Times New Roman"/>
          <w:sz w:val="28"/>
          <w:szCs w:val="28"/>
        </w:rPr>
        <w:t>6</w:t>
      </w:r>
      <w:r w:rsidR="007E388F" w:rsidRPr="007E388F">
        <w:rPr>
          <w:rFonts w:ascii="Times New Roman" w:hAnsi="Times New Roman" w:cs="Times New Roman"/>
          <w:sz w:val="28"/>
          <w:szCs w:val="28"/>
        </w:rPr>
        <w:t xml:space="preserve"> год»</w:t>
      </w:r>
      <w:r w:rsidR="007E388F">
        <w:rPr>
          <w:rFonts w:ascii="Times New Roman" w:hAnsi="Times New Roman" w:cs="Times New Roman"/>
          <w:sz w:val="28"/>
          <w:szCs w:val="28"/>
        </w:rPr>
        <w:t xml:space="preserve"> был обнародован путем размещения его текста</w:t>
      </w:r>
      <w:r w:rsidRPr="006E0F69">
        <w:rPr>
          <w:rFonts w:ascii="Times New Roman" w:hAnsi="Times New Roman" w:cs="Times New Roman"/>
          <w:sz w:val="28"/>
          <w:szCs w:val="28"/>
        </w:rPr>
        <w:t xml:space="preserve"> на информационном стенде, расположенном в здании </w:t>
      </w:r>
      <w:r w:rsidRPr="006E0F69">
        <w:rPr>
          <w:rFonts w:ascii="Times New Roman" w:hAnsi="Times New Roman" w:cs="Times New Roman"/>
          <w:sz w:val="28"/>
          <w:szCs w:val="28"/>
        </w:rPr>
        <w:lastRenderedPageBreak/>
        <w:t>администрации Курского муниципального района, а также на официальном сайте администрации Курского муниципального района, (раздел «Совет района / Решения совета»).</w:t>
      </w:r>
    </w:p>
    <w:p w:rsidR="006E0F69" w:rsidRPr="006E0F69" w:rsidRDefault="006E0F69" w:rsidP="007E388F">
      <w:pPr>
        <w:spacing w:after="0" w:line="240" w:lineRule="auto"/>
        <w:ind w:firstLine="709"/>
        <w:jc w:val="both"/>
        <w:rPr>
          <w:rFonts w:ascii="Times New Roman" w:eastAsia="Times New Roman" w:hAnsi="Times New Roman" w:cs="Times New Roman"/>
          <w:sz w:val="28"/>
          <w:szCs w:val="28"/>
        </w:rPr>
      </w:pPr>
      <w:r w:rsidRPr="006E0F69">
        <w:rPr>
          <w:rFonts w:ascii="Times New Roman" w:eastAsia="Times New Roman" w:hAnsi="Times New Roman" w:cs="Times New Roman"/>
          <w:sz w:val="28"/>
          <w:szCs w:val="28"/>
        </w:rPr>
        <w:t xml:space="preserve"> Ответственной за проведение публичных слушаний назначена комиссия совета Курского муниципального района Ставропольского края по бюджету, экономической политике, налога</w:t>
      </w:r>
      <w:r w:rsidR="007E388F">
        <w:rPr>
          <w:rFonts w:ascii="Times New Roman" w:eastAsia="Times New Roman" w:hAnsi="Times New Roman" w:cs="Times New Roman"/>
          <w:sz w:val="28"/>
          <w:szCs w:val="28"/>
        </w:rPr>
        <w:t>м, собственности и инвестициям.</w:t>
      </w:r>
    </w:p>
    <w:p w:rsidR="006E0F69" w:rsidRPr="006E0F69" w:rsidRDefault="006E0F69" w:rsidP="007E388F">
      <w:pPr>
        <w:spacing w:after="0" w:line="240" w:lineRule="auto"/>
        <w:ind w:firstLine="709"/>
        <w:jc w:val="both"/>
        <w:rPr>
          <w:rFonts w:ascii="Times New Roman" w:eastAsia="Times New Roman" w:hAnsi="Times New Roman" w:cs="Times New Roman"/>
          <w:sz w:val="28"/>
          <w:szCs w:val="28"/>
        </w:rPr>
      </w:pPr>
      <w:r w:rsidRPr="006E0F69">
        <w:rPr>
          <w:rFonts w:ascii="Times New Roman" w:eastAsia="Times New Roman" w:hAnsi="Times New Roman" w:cs="Times New Roman"/>
          <w:sz w:val="28"/>
          <w:szCs w:val="28"/>
        </w:rPr>
        <w:t xml:space="preserve"> За время, отведенное для подачи предложений, замечаний, по обсуждаемому проекту, таковых не поступило.</w:t>
      </w:r>
    </w:p>
    <w:p w:rsidR="00982E59" w:rsidRPr="001F72DF" w:rsidRDefault="007E388F" w:rsidP="007E388F">
      <w:pPr>
        <w:pStyle w:val="a4"/>
        <w:ind w:firstLine="709"/>
        <w:jc w:val="both"/>
        <w:rPr>
          <w:sz w:val="28"/>
          <w:szCs w:val="28"/>
        </w:rPr>
      </w:pPr>
      <w:r w:rsidRPr="00844DFC">
        <w:rPr>
          <w:b/>
          <w:sz w:val="28"/>
          <w:szCs w:val="28"/>
        </w:rPr>
        <w:t>СЛУШАЛИ:</w:t>
      </w:r>
      <w:r w:rsidR="005523BD">
        <w:rPr>
          <w:b/>
          <w:sz w:val="28"/>
          <w:szCs w:val="28"/>
        </w:rPr>
        <w:t xml:space="preserve"> </w:t>
      </w:r>
      <w:r w:rsidR="00F85045">
        <w:rPr>
          <w:b/>
          <w:sz w:val="28"/>
          <w:szCs w:val="28"/>
        </w:rPr>
        <w:t>Е.В.Мишина.</w:t>
      </w:r>
      <w:r w:rsidR="005523BD">
        <w:rPr>
          <w:b/>
          <w:sz w:val="28"/>
          <w:szCs w:val="28"/>
        </w:rPr>
        <w:t xml:space="preserve"> </w:t>
      </w:r>
      <w:r w:rsidR="00753152" w:rsidRPr="001F72DF">
        <w:rPr>
          <w:sz w:val="28"/>
          <w:szCs w:val="28"/>
        </w:rPr>
        <w:t>О</w:t>
      </w:r>
      <w:r w:rsidR="00982E59" w:rsidRPr="001F72DF">
        <w:rPr>
          <w:sz w:val="28"/>
          <w:szCs w:val="28"/>
        </w:rPr>
        <w:t xml:space="preserve">знакомила присутствующих с </w:t>
      </w:r>
      <w:r w:rsidR="001F72DF" w:rsidRPr="001F72DF">
        <w:rPr>
          <w:sz w:val="28"/>
          <w:szCs w:val="28"/>
        </w:rPr>
        <w:t>проектом решения</w:t>
      </w:r>
      <w:r w:rsidR="00753152" w:rsidRPr="001F72DF">
        <w:rPr>
          <w:sz w:val="28"/>
          <w:szCs w:val="28"/>
        </w:rPr>
        <w:t xml:space="preserve"> совета Курского муниципального района Ставропольского края </w:t>
      </w:r>
      <w:r w:rsidR="00042533">
        <w:rPr>
          <w:sz w:val="28"/>
          <w:szCs w:val="28"/>
        </w:rPr>
        <w:t>«Об исполнении бюджета Курского муниципального района Ставропольского края за 2015 год»</w:t>
      </w:r>
      <w:r w:rsidR="004A14A7" w:rsidRPr="001F72DF">
        <w:rPr>
          <w:sz w:val="28"/>
          <w:szCs w:val="28"/>
        </w:rPr>
        <w:t>.</w:t>
      </w:r>
    </w:p>
    <w:p w:rsidR="00F85045" w:rsidRPr="00F85045" w:rsidRDefault="00F85045" w:rsidP="00F85045">
      <w:pPr>
        <w:pStyle w:val="a4"/>
        <w:ind w:firstLine="708"/>
        <w:jc w:val="both"/>
        <w:rPr>
          <w:sz w:val="28"/>
        </w:rPr>
      </w:pPr>
      <w:r w:rsidRPr="00F85045">
        <w:rPr>
          <w:sz w:val="28"/>
        </w:rPr>
        <w:t xml:space="preserve">За отчетный период внесено 4 проекта решений о внесении изменений в местный бюджет, в результате уточненные плановые назначения по доходам составили 1 178 935,85 тыс. руб., по расходам 1 217 355,36 тыс. руб., дефицит 38 419,51 тыс. руб. </w:t>
      </w:r>
    </w:p>
    <w:p w:rsidR="00F85045" w:rsidRPr="00F85045" w:rsidRDefault="00F85045" w:rsidP="00F85045">
      <w:pPr>
        <w:pStyle w:val="a4"/>
        <w:jc w:val="both"/>
        <w:rPr>
          <w:sz w:val="28"/>
        </w:rPr>
      </w:pPr>
      <w:r w:rsidRPr="00F85045">
        <w:rPr>
          <w:b/>
          <w:i/>
          <w:sz w:val="28"/>
        </w:rPr>
        <w:t xml:space="preserve">     </w:t>
      </w:r>
      <w:r w:rsidRPr="00F85045">
        <w:rPr>
          <w:sz w:val="28"/>
        </w:rPr>
        <w:t xml:space="preserve">     Исполнение местного бюджета за 2016 год выглядит следующим образом: по доходам 1 189 078,32 тыс. руб. или 100,86%, по расходам   1202469,23 тыс. руб. или 98,78%.</w:t>
      </w:r>
    </w:p>
    <w:p w:rsidR="00F85045" w:rsidRPr="00F85045" w:rsidRDefault="00F85045" w:rsidP="00F85045">
      <w:pPr>
        <w:pStyle w:val="a4"/>
        <w:jc w:val="both"/>
        <w:rPr>
          <w:sz w:val="28"/>
        </w:rPr>
      </w:pPr>
      <w:r w:rsidRPr="00F85045">
        <w:rPr>
          <w:b/>
          <w:i/>
          <w:sz w:val="28"/>
        </w:rPr>
        <w:t xml:space="preserve">           </w:t>
      </w:r>
      <w:r w:rsidRPr="00F85045">
        <w:rPr>
          <w:sz w:val="28"/>
        </w:rPr>
        <w:t>Из общего объема доходов налоговые и неналоговые доходы составляют 187 897,71 тыс. руб. или 15,8%, безвозмездные поступления    1 001 180,61 тыс. руб. или 84,2%. Удельный вес собственных доходов в общем объеме по сравнению с прошлым годом увеличился на 1,6 %.</w:t>
      </w:r>
    </w:p>
    <w:p w:rsidR="00F85045" w:rsidRPr="00F85045" w:rsidRDefault="00F85045" w:rsidP="00F85045">
      <w:pPr>
        <w:pStyle w:val="a4"/>
        <w:jc w:val="both"/>
        <w:rPr>
          <w:sz w:val="28"/>
        </w:rPr>
      </w:pPr>
      <w:r w:rsidRPr="00F85045">
        <w:rPr>
          <w:b/>
          <w:i/>
          <w:sz w:val="28"/>
        </w:rPr>
        <w:t xml:space="preserve">          </w:t>
      </w:r>
      <w:r w:rsidRPr="00F85045">
        <w:rPr>
          <w:sz w:val="28"/>
        </w:rPr>
        <w:t xml:space="preserve">Общий объем поступивших доходов отчетного года меньше значения соответствующего периода прошлого года на 25 777,72 тыс. руб. </w:t>
      </w:r>
    </w:p>
    <w:p w:rsidR="00F85045" w:rsidRPr="00F85045" w:rsidRDefault="00F85045" w:rsidP="00F85045">
      <w:pPr>
        <w:pStyle w:val="a4"/>
        <w:jc w:val="both"/>
        <w:rPr>
          <w:sz w:val="28"/>
        </w:rPr>
      </w:pPr>
      <w:r w:rsidRPr="00F85045">
        <w:rPr>
          <w:sz w:val="28"/>
        </w:rPr>
        <w:t xml:space="preserve">          Объем собственных доходов в сравнении с прошлым годом увеличился на 15 860,38 тыс. руб. или на 9,2 %. </w:t>
      </w:r>
    </w:p>
    <w:p w:rsidR="00F85045" w:rsidRPr="00F85045" w:rsidRDefault="00F85045" w:rsidP="00F85045">
      <w:pPr>
        <w:pStyle w:val="a4"/>
        <w:jc w:val="both"/>
        <w:rPr>
          <w:sz w:val="28"/>
        </w:rPr>
      </w:pPr>
      <w:r w:rsidRPr="00F85045">
        <w:rPr>
          <w:sz w:val="28"/>
        </w:rPr>
        <w:t xml:space="preserve">          В разрезе доходных источников удельный вес налогов в общем объеме собственных доходов выглядит следующим образом:</w:t>
      </w:r>
    </w:p>
    <w:p w:rsidR="00F85045" w:rsidRPr="00F85045" w:rsidRDefault="00F85045" w:rsidP="00F85045">
      <w:pPr>
        <w:pStyle w:val="a4"/>
        <w:jc w:val="both"/>
        <w:rPr>
          <w:sz w:val="28"/>
        </w:rPr>
      </w:pPr>
    </w:p>
    <w:tbl>
      <w:tblPr>
        <w:tblW w:w="0" w:type="auto"/>
        <w:tblLook w:val="04A0" w:firstRow="1" w:lastRow="0" w:firstColumn="1" w:lastColumn="0" w:noHBand="0" w:noVBand="1"/>
      </w:tblPr>
      <w:tblGrid>
        <w:gridCol w:w="7045"/>
        <w:gridCol w:w="1727"/>
      </w:tblGrid>
      <w:tr w:rsidR="00F85045" w:rsidRPr="00F85045" w:rsidTr="006F0CCE">
        <w:tc>
          <w:tcPr>
            <w:tcW w:w="7045" w:type="dxa"/>
            <w:tcBorders>
              <w:bottom w:val="single" w:sz="4" w:space="0" w:color="D9D9D9"/>
            </w:tcBorders>
          </w:tcPr>
          <w:p w:rsidR="00F85045" w:rsidRPr="00F85045" w:rsidRDefault="00F85045" w:rsidP="00F85045">
            <w:pPr>
              <w:pStyle w:val="a4"/>
              <w:jc w:val="both"/>
              <w:rPr>
                <w:sz w:val="28"/>
              </w:rPr>
            </w:pPr>
            <w:r w:rsidRPr="00F85045">
              <w:rPr>
                <w:sz w:val="28"/>
              </w:rPr>
              <w:t xml:space="preserve">Собственные доходы всего                         </w:t>
            </w:r>
          </w:p>
          <w:p w:rsidR="00F85045" w:rsidRPr="00F85045" w:rsidRDefault="00F85045" w:rsidP="00F85045">
            <w:pPr>
              <w:pStyle w:val="a4"/>
              <w:jc w:val="both"/>
              <w:rPr>
                <w:b/>
                <w:i/>
                <w:sz w:val="28"/>
              </w:rPr>
            </w:pPr>
            <w:r w:rsidRPr="00F85045">
              <w:rPr>
                <w:sz w:val="28"/>
              </w:rPr>
              <w:t>в том числе:</w:t>
            </w:r>
          </w:p>
        </w:tc>
        <w:tc>
          <w:tcPr>
            <w:tcW w:w="1727" w:type="dxa"/>
            <w:tcBorders>
              <w:bottom w:val="single" w:sz="4" w:space="0" w:color="D9D9D9"/>
            </w:tcBorders>
          </w:tcPr>
          <w:p w:rsidR="00F85045" w:rsidRPr="00F85045" w:rsidRDefault="00F85045" w:rsidP="00F85045">
            <w:pPr>
              <w:pStyle w:val="a4"/>
              <w:jc w:val="both"/>
              <w:rPr>
                <w:sz w:val="28"/>
              </w:rPr>
            </w:pPr>
            <w:r w:rsidRPr="00F85045">
              <w:rPr>
                <w:sz w:val="28"/>
              </w:rPr>
              <w:t>100%</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 xml:space="preserve">Налог на доходы физических лиц </w:t>
            </w:r>
          </w:p>
          <w:p w:rsidR="00F85045" w:rsidRPr="00F85045" w:rsidRDefault="00F85045" w:rsidP="00F85045">
            <w:pPr>
              <w:pStyle w:val="a4"/>
              <w:jc w:val="both"/>
              <w:rPr>
                <w:sz w:val="28"/>
              </w:rPr>
            </w:pPr>
            <w:r w:rsidRPr="00F85045">
              <w:rPr>
                <w:sz w:val="28"/>
              </w:rPr>
              <w:t>Доходы от уплаты акцизов</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53,6%</w:t>
            </w:r>
          </w:p>
          <w:p w:rsidR="00F85045" w:rsidRPr="00F85045" w:rsidRDefault="00F85045" w:rsidP="00F85045">
            <w:pPr>
              <w:pStyle w:val="a4"/>
              <w:jc w:val="both"/>
              <w:rPr>
                <w:sz w:val="28"/>
              </w:rPr>
            </w:pPr>
            <w:r w:rsidRPr="00F85045">
              <w:rPr>
                <w:sz w:val="28"/>
              </w:rPr>
              <w:t xml:space="preserve">  3,0%</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Единый налог на вмененный доход</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3,7%</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Единый сельскохозяйственный налог</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3,1%</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Госпошлина</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1,9%</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Доходы от использования имущества, находящегося в муниципальной собственности</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p>
          <w:p w:rsidR="00F85045" w:rsidRPr="00F85045" w:rsidRDefault="00F85045" w:rsidP="00F85045">
            <w:pPr>
              <w:pStyle w:val="a4"/>
              <w:jc w:val="both"/>
              <w:rPr>
                <w:sz w:val="28"/>
              </w:rPr>
            </w:pPr>
            <w:r w:rsidRPr="00F85045">
              <w:rPr>
                <w:sz w:val="28"/>
              </w:rPr>
              <w:t>13,0%</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 xml:space="preserve">Плата за негативное воздействие </w:t>
            </w:r>
          </w:p>
          <w:p w:rsidR="00F85045" w:rsidRPr="00F85045" w:rsidRDefault="00F85045" w:rsidP="00F85045">
            <w:pPr>
              <w:pStyle w:val="a4"/>
              <w:jc w:val="both"/>
              <w:rPr>
                <w:sz w:val="28"/>
              </w:rPr>
            </w:pPr>
            <w:r w:rsidRPr="00F85045">
              <w:rPr>
                <w:sz w:val="28"/>
              </w:rPr>
              <w:t>на окружающую среду</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p>
          <w:p w:rsidR="00F85045" w:rsidRPr="00F85045" w:rsidRDefault="00F85045" w:rsidP="00F85045">
            <w:pPr>
              <w:pStyle w:val="a4"/>
              <w:jc w:val="both"/>
              <w:rPr>
                <w:sz w:val="28"/>
              </w:rPr>
            </w:pPr>
            <w:r w:rsidRPr="00F85045">
              <w:rPr>
                <w:sz w:val="28"/>
              </w:rPr>
              <w:t>0,3%</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Доходы от оказания платных услуг</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14,4%</w:t>
            </w:r>
          </w:p>
        </w:tc>
      </w:tr>
      <w:tr w:rsidR="00F85045" w:rsidRPr="00F85045" w:rsidTr="006F0CCE">
        <w:trPr>
          <w:trHeight w:val="765"/>
        </w:trPr>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 xml:space="preserve">Доходы от продажи материальных </w:t>
            </w:r>
          </w:p>
          <w:p w:rsidR="00F85045" w:rsidRPr="00F85045" w:rsidRDefault="00F85045" w:rsidP="00F85045">
            <w:pPr>
              <w:pStyle w:val="a4"/>
              <w:jc w:val="both"/>
              <w:rPr>
                <w:sz w:val="28"/>
              </w:rPr>
            </w:pPr>
            <w:r w:rsidRPr="00F85045">
              <w:rPr>
                <w:sz w:val="28"/>
              </w:rPr>
              <w:t>и нематериальных активов</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p>
          <w:p w:rsidR="00F85045" w:rsidRPr="00F85045" w:rsidRDefault="00F85045" w:rsidP="00F85045">
            <w:pPr>
              <w:pStyle w:val="a4"/>
              <w:jc w:val="both"/>
              <w:rPr>
                <w:sz w:val="28"/>
              </w:rPr>
            </w:pPr>
            <w:r w:rsidRPr="00F85045">
              <w:rPr>
                <w:sz w:val="28"/>
              </w:rPr>
              <w:t>5,5%</w:t>
            </w:r>
          </w:p>
        </w:tc>
      </w:tr>
      <w:tr w:rsidR="00F85045" w:rsidRPr="00F85045" w:rsidTr="006F0CCE">
        <w:trPr>
          <w:trHeight w:val="435"/>
        </w:trPr>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lastRenderedPageBreak/>
              <w:t>Штрафы</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1,5%</w:t>
            </w:r>
          </w:p>
        </w:tc>
      </w:tr>
      <w:tr w:rsidR="00F85045" w:rsidRPr="00F85045" w:rsidTr="006F0CCE">
        <w:tc>
          <w:tcPr>
            <w:tcW w:w="7045"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Прочие неналоговые</w:t>
            </w:r>
          </w:p>
        </w:tc>
        <w:tc>
          <w:tcPr>
            <w:tcW w:w="1727" w:type="dxa"/>
            <w:tcBorders>
              <w:top w:val="single" w:sz="4" w:space="0" w:color="D9D9D9"/>
              <w:left w:val="single" w:sz="4" w:space="0" w:color="D9D9D9"/>
              <w:bottom w:val="single" w:sz="4" w:space="0" w:color="D9D9D9"/>
              <w:right w:val="single" w:sz="4" w:space="0" w:color="D9D9D9"/>
            </w:tcBorders>
          </w:tcPr>
          <w:p w:rsidR="00F85045" w:rsidRPr="00F85045" w:rsidRDefault="00F85045" w:rsidP="00F85045">
            <w:pPr>
              <w:pStyle w:val="a4"/>
              <w:jc w:val="both"/>
              <w:rPr>
                <w:sz w:val="28"/>
              </w:rPr>
            </w:pPr>
            <w:r w:rsidRPr="00F85045">
              <w:rPr>
                <w:sz w:val="28"/>
              </w:rPr>
              <w:t>0,04%</w:t>
            </w:r>
          </w:p>
        </w:tc>
      </w:tr>
    </w:tbl>
    <w:p w:rsidR="00F85045" w:rsidRPr="00F85045" w:rsidRDefault="00F85045" w:rsidP="00F85045">
      <w:pPr>
        <w:pStyle w:val="a4"/>
        <w:jc w:val="both"/>
        <w:rPr>
          <w:sz w:val="28"/>
        </w:rPr>
      </w:pPr>
    </w:p>
    <w:p w:rsidR="00F85045" w:rsidRPr="00F85045" w:rsidRDefault="00F85045" w:rsidP="00F85045">
      <w:pPr>
        <w:pStyle w:val="a4"/>
        <w:jc w:val="both"/>
        <w:rPr>
          <w:sz w:val="28"/>
        </w:rPr>
      </w:pPr>
      <w:r w:rsidRPr="00F85045">
        <w:rPr>
          <w:sz w:val="28"/>
        </w:rPr>
        <w:tab/>
        <w:t xml:space="preserve">  В разрезе доходных источников исполнение выглядит следующим образом: </w:t>
      </w:r>
    </w:p>
    <w:p w:rsidR="00F85045" w:rsidRPr="00F85045" w:rsidRDefault="00F85045" w:rsidP="00F85045">
      <w:pPr>
        <w:pStyle w:val="a4"/>
        <w:jc w:val="both"/>
        <w:rPr>
          <w:sz w:val="28"/>
        </w:rPr>
      </w:pPr>
      <w:r w:rsidRPr="00F85045">
        <w:rPr>
          <w:sz w:val="28"/>
        </w:rPr>
        <w:t xml:space="preserve">             Поступление налога на доходы физических лиц в 2016 году составляет 100 835,34 тыс. руб. или 104,8% от плановых назначений. К отчету 2015 года  наблюдается  рост – 10,2% или 10 281,36 тыс. руб. в абсолютной сумме (удельный вес  в общем объеме собственных доходов – 53,6%).</w:t>
      </w:r>
    </w:p>
    <w:p w:rsidR="00F85045" w:rsidRPr="00F85045" w:rsidRDefault="00F85045" w:rsidP="00F85045">
      <w:pPr>
        <w:pStyle w:val="a4"/>
        <w:jc w:val="both"/>
        <w:rPr>
          <w:sz w:val="28"/>
        </w:rPr>
      </w:pPr>
      <w:r w:rsidRPr="00F85045">
        <w:rPr>
          <w:sz w:val="28"/>
        </w:rPr>
        <w:t xml:space="preserve">         Доходы от уплаты акцизов на дизельное топливо поступили в отчетном периоде в сумме 5 613,74 тыс. руб., что выше  плановых назначений на 2 275,53 тыс. руб. или  на 68,2% (удельный вес  в общем объеме собственных доходов – 3,0%).</w:t>
      </w:r>
    </w:p>
    <w:p w:rsidR="00F85045" w:rsidRPr="00F85045" w:rsidRDefault="00F85045" w:rsidP="00F85045">
      <w:pPr>
        <w:pStyle w:val="a4"/>
        <w:jc w:val="both"/>
        <w:rPr>
          <w:sz w:val="28"/>
        </w:rPr>
      </w:pPr>
      <w:r w:rsidRPr="00F85045">
        <w:rPr>
          <w:sz w:val="28"/>
        </w:rPr>
        <w:t xml:space="preserve">         Поступление единого налога на вмененный доход для отдельных видов деятельности составляет 6 925,19 тыс. руб. или 102,1%, в сравнении с прошлым годом уменьшение на 4,5% или на 323,48 тыс. руб. (удельный вес  в общем объеме собственных доходов – 3,7%). </w:t>
      </w:r>
    </w:p>
    <w:p w:rsidR="00F85045" w:rsidRPr="00F85045" w:rsidRDefault="00F85045" w:rsidP="00F85045">
      <w:pPr>
        <w:pStyle w:val="a4"/>
        <w:jc w:val="both"/>
        <w:rPr>
          <w:sz w:val="28"/>
        </w:rPr>
      </w:pPr>
      <w:r w:rsidRPr="00F85045">
        <w:rPr>
          <w:sz w:val="28"/>
        </w:rPr>
        <w:t xml:space="preserve">          Поступление единого сельскохозяйственного налога составляет 5 744,52 тыс. руб. или 119,3%, в сравнении с 2015 годом увеличение составляет 1 523,22 тыс. руб. или 36,1%   (удельный вес  в общем объеме собственных доходов – 3,1%).</w:t>
      </w:r>
    </w:p>
    <w:p w:rsidR="00F85045" w:rsidRPr="00F85045" w:rsidRDefault="00F85045" w:rsidP="00F85045">
      <w:pPr>
        <w:pStyle w:val="a4"/>
        <w:jc w:val="both"/>
        <w:rPr>
          <w:sz w:val="28"/>
        </w:rPr>
      </w:pPr>
      <w:r w:rsidRPr="00F85045">
        <w:rPr>
          <w:sz w:val="28"/>
        </w:rPr>
        <w:t xml:space="preserve">         Поступление государственной пошлины составляет 3 469,93 тыс. руб. или 102,1% к назначенной сумме, а в сравнении с прошлым годом увеличение на 13,2 тыс. руб. или на 0,4%  (удельный вес  в общем объеме собственных доходов – 1,9%).</w:t>
      </w:r>
    </w:p>
    <w:p w:rsidR="00F85045" w:rsidRPr="00F85045" w:rsidRDefault="00F85045" w:rsidP="00F85045">
      <w:pPr>
        <w:pStyle w:val="a4"/>
        <w:jc w:val="both"/>
        <w:rPr>
          <w:sz w:val="28"/>
        </w:rPr>
      </w:pPr>
      <w:r w:rsidRPr="00F85045">
        <w:rPr>
          <w:sz w:val="28"/>
        </w:rPr>
        <w:t xml:space="preserve">          Доходы, полученные от использования имущества, находящегося в муниципальной собственности составляют 24 367,19 тыс. руб. или 131,6% от назначенных сумм. В сравнении с соответствующим периодом прошлого года уменьшение на 2 789,22 тыс. руб.,  в связи изменением кадастровой стоимости земельных участков (удельный вес  в общем объеме собственных доходов – 12,9%).</w:t>
      </w:r>
    </w:p>
    <w:p w:rsidR="00F85045" w:rsidRPr="00F85045" w:rsidRDefault="00F85045" w:rsidP="00F85045">
      <w:pPr>
        <w:pStyle w:val="a4"/>
        <w:jc w:val="both"/>
        <w:rPr>
          <w:sz w:val="28"/>
        </w:rPr>
      </w:pPr>
      <w:r w:rsidRPr="00F85045">
        <w:rPr>
          <w:sz w:val="28"/>
        </w:rPr>
        <w:t xml:space="preserve">         Доходы от перечисления части прибыли, остающейся после уплаты налогов муниципальными унитарными предприятиями, составили 199,26 тыс. руб. что в 2,2 раза  больше назначенных сумм, по сравнению с прошлым годом увеличение на 96,49 тыс. руб. (удельный вес  в общем объеме собственных доходов – 0,1%).</w:t>
      </w:r>
    </w:p>
    <w:p w:rsidR="00F85045" w:rsidRPr="00F85045" w:rsidRDefault="00F85045" w:rsidP="00F85045">
      <w:pPr>
        <w:pStyle w:val="a4"/>
        <w:jc w:val="both"/>
        <w:rPr>
          <w:sz w:val="28"/>
        </w:rPr>
      </w:pPr>
      <w:r w:rsidRPr="00F85045">
        <w:rPr>
          <w:sz w:val="28"/>
        </w:rPr>
        <w:t xml:space="preserve">          Поступление платы за негативное воздействие на окружающую среду составляет 575,42 тыс. руб. увеличение в 3,6 раза  к плановым значениям, также увеличение против  прошлого года на 69,34 тыс. руб. или на 13,7% (удельный вес  в общем объеме собственных доходов – 0,3%).</w:t>
      </w:r>
    </w:p>
    <w:p w:rsidR="00F85045" w:rsidRPr="00F85045" w:rsidRDefault="00F85045" w:rsidP="00F85045">
      <w:pPr>
        <w:pStyle w:val="a4"/>
        <w:jc w:val="both"/>
        <w:rPr>
          <w:sz w:val="28"/>
        </w:rPr>
      </w:pPr>
      <w:r w:rsidRPr="00F85045">
        <w:rPr>
          <w:sz w:val="28"/>
        </w:rPr>
        <w:t xml:space="preserve">          Доходы от оказания платных услуг составляют 27 055,61 тыс. руб. или 101,0% от плановых назначений, практически уровень прошлого года  (удельный вес  в общем объеме собственных доходов – 14,4%).</w:t>
      </w:r>
    </w:p>
    <w:p w:rsidR="00F85045" w:rsidRPr="00F85045" w:rsidRDefault="00F85045" w:rsidP="00F85045">
      <w:pPr>
        <w:pStyle w:val="a4"/>
        <w:jc w:val="both"/>
        <w:rPr>
          <w:sz w:val="28"/>
        </w:rPr>
      </w:pPr>
      <w:r w:rsidRPr="00F85045">
        <w:rPr>
          <w:sz w:val="28"/>
        </w:rPr>
        <w:lastRenderedPageBreak/>
        <w:t xml:space="preserve">          Поступление доходов от продажи материальных и нематериальных активов составляет 10 271,94 тыс. руб. что в 4 раза превышает плановые назначения. В сравнении с прошлым годом рост в 2,7 раза, </w:t>
      </w:r>
      <w:r w:rsidRPr="00F85045">
        <w:rPr>
          <w:color w:val="000000"/>
          <w:sz w:val="28"/>
        </w:rPr>
        <w:t>за счет незапланированной продажи земельных участков (МО Балтийский сельсовет, МО Полтавский сельсовет, МО Курский сельсовет, МО Русский сельсовет, МО села Эдиссия), данный вид дохода носит заявительный характер (</w:t>
      </w:r>
      <w:r w:rsidRPr="00F85045">
        <w:rPr>
          <w:sz w:val="28"/>
        </w:rPr>
        <w:t>удельный вес  в общем объеме собственных доходов – 5,5%).</w:t>
      </w:r>
    </w:p>
    <w:p w:rsidR="00F85045" w:rsidRPr="00F85045" w:rsidRDefault="00F85045" w:rsidP="00F85045">
      <w:pPr>
        <w:pStyle w:val="a4"/>
        <w:jc w:val="both"/>
        <w:rPr>
          <w:sz w:val="28"/>
        </w:rPr>
      </w:pPr>
      <w:r w:rsidRPr="00F85045">
        <w:rPr>
          <w:sz w:val="28"/>
        </w:rPr>
        <w:t xml:space="preserve">         Штрафы, санкции, возмещение ущерба поступили в сумме 2 760,32 тыс. руб. или 103,8%, по сравнению с прошлым годом снижение на 1 011,92 тыс., руб. в абсолютной сумме или 26,8% (удельный вес  в общем объеме собственных доходов – 1,5%).</w:t>
      </w:r>
    </w:p>
    <w:p w:rsidR="00F85045" w:rsidRPr="00F85045" w:rsidRDefault="00F85045" w:rsidP="00F85045">
      <w:pPr>
        <w:pStyle w:val="a4"/>
        <w:ind w:firstLine="708"/>
        <w:jc w:val="both"/>
        <w:rPr>
          <w:sz w:val="28"/>
        </w:rPr>
      </w:pPr>
      <w:r w:rsidRPr="00F85045">
        <w:rPr>
          <w:sz w:val="28"/>
        </w:rPr>
        <w:t>Доля безвозмездных поступлений в общем объеме доходов местного бюджета остается стабильно высокой – 84,2%,  в  сравнении с 2015 годом, доля эта  уменьшилась на 1,6%. Фактическое исполнение по безвозмездным поступлениям составило 1 001 180,61 тыс. руб. или 98,8%.</w:t>
      </w:r>
    </w:p>
    <w:p w:rsidR="00F85045" w:rsidRPr="00F85045" w:rsidRDefault="00F85045" w:rsidP="00F85045">
      <w:pPr>
        <w:pStyle w:val="a4"/>
        <w:ind w:firstLine="708"/>
        <w:jc w:val="both"/>
        <w:rPr>
          <w:sz w:val="28"/>
        </w:rPr>
      </w:pPr>
      <w:r w:rsidRPr="00F85045">
        <w:rPr>
          <w:sz w:val="28"/>
        </w:rPr>
        <w:t>Для увеличения налогового потенциала района,</w:t>
      </w:r>
      <w:r w:rsidRPr="00F85045">
        <w:rPr>
          <w:rStyle w:val="ab"/>
          <w:sz w:val="32"/>
          <w:szCs w:val="28"/>
        </w:rPr>
        <w:t xml:space="preserve"> </w:t>
      </w:r>
      <w:r w:rsidRPr="00F85045">
        <w:rPr>
          <w:rStyle w:val="FontStyle13"/>
          <w:sz w:val="32"/>
          <w:szCs w:val="28"/>
        </w:rPr>
        <w:t xml:space="preserve">своевременного поступления  в </w:t>
      </w:r>
      <w:r w:rsidRPr="00F85045">
        <w:rPr>
          <w:sz w:val="28"/>
        </w:rPr>
        <w:t>бюджет налога на доходы физических лиц, недопущения образования текущей задолженности и погашения имеющейся,  Финансовым управлением проводился ежедневный, ежедекадный, ежемесячный анализ исполнения доходной части бюджета. Специалистами готовился материал для проведения комиссий социально-экономического развития района и по мобилизации налоговых и неналоговых доходов, зачисляемых в местный бюджет. Принимали участие в работе комиссии Межрайонной  ИФНС России №1  по легализации налоговой базы.</w:t>
      </w:r>
    </w:p>
    <w:p w:rsidR="00F85045" w:rsidRPr="00F85045" w:rsidRDefault="00F85045" w:rsidP="00F85045">
      <w:pPr>
        <w:pStyle w:val="a4"/>
        <w:jc w:val="both"/>
        <w:rPr>
          <w:rStyle w:val="FontStyle13"/>
          <w:sz w:val="32"/>
          <w:szCs w:val="28"/>
        </w:rPr>
      </w:pPr>
      <w:r w:rsidRPr="00F85045">
        <w:rPr>
          <w:sz w:val="28"/>
        </w:rPr>
        <w:t xml:space="preserve">В результате проводимых мероприятий погашено задолженности по налогу на доходы физических лиц за отчетный период– 8 240,00 тыс. руб., </w:t>
      </w:r>
      <w:r w:rsidRPr="00F85045">
        <w:rPr>
          <w:rStyle w:val="FontStyle13"/>
          <w:sz w:val="32"/>
          <w:szCs w:val="28"/>
        </w:rPr>
        <w:t>в бюджет Курского муниципального района от перечисленной задолженности поступило  - 2 966,4 тыс. руб. (по нормативу – 36%).</w:t>
      </w:r>
    </w:p>
    <w:p w:rsidR="00F85045" w:rsidRPr="00F85045" w:rsidRDefault="00F85045" w:rsidP="00F85045">
      <w:pPr>
        <w:pStyle w:val="a4"/>
        <w:jc w:val="both"/>
        <w:rPr>
          <w:sz w:val="28"/>
        </w:rPr>
      </w:pPr>
      <w:r w:rsidRPr="00F85045">
        <w:rPr>
          <w:b/>
          <w:i/>
          <w:sz w:val="28"/>
        </w:rPr>
        <w:t xml:space="preserve">          </w:t>
      </w:r>
      <w:r w:rsidRPr="00F85045">
        <w:rPr>
          <w:sz w:val="28"/>
        </w:rPr>
        <w:t>Исполнение расходной части бюджета за 2016 год составляет 98,8% (при уточненных назначениях 1 217 355,36 тыс. руб., исполнено 1 202 469,23 тыс. руб.) в сравнении с 2015 годом объем расходов местного бюджета уменьшился на 26 285,42 тыс. руб. или на 2,1%.</w:t>
      </w:r>
    </w:p>
    <w:p w:rsidR="00F85045" w:rsidRPr="00F85045" w:rsidRDefault="00F85045" w:rsidP="00F85045">
      <w:pPr>
        <w:pStyle w:val="a4"/>
        <w:jc w:val="both"/>
        <w:rPr>
          <w:sz w:val="28"/>
        </w:rPr>
      </w:pPr>
      <w:r w:rsidRPr="00F85045">
        <w:rPr>
          <w:sz w:val="28"/>
        </w:rPr>
        <w:tab/>
        <w:t xml:space="preserve"> Достижение поставленных задач социально-экономического развития района, основной из которых является создание комфортных условий проживания граждан, осуществлялось не только за счет увеличения доходных возможностей местного бюджета, но и путем сохранения социальной направленности расходов. Решением о бюджете Курского муниципального района на 2016 год был определен перечень приоритетных статей расходов бюджета, к которым отнесены: выплата заработной платы работникам бюджетной сферы, социальные выплаты населению, коммунальные услуги, медикаменты, перевязочные средства, продукты питания. Так на финансирование отраслей социально-культурной сферы в отчетном периоде направлено 1 024 768,39 тыс. руб., что составляет 85,2% общего объема расходов местного бюджета.</w:t>
      </w:r>
    </w:p>
    <w:p w:rsidR="00F85045" w:rsidRPr="00F85045" w:rsidRDefault="00F85045" w:rsidP="00F85045">
      <w:pPr>
        <w:pStyle w:val="a4"/>
        <w:jc w:val="both"/>
        <w:rPr>
          <w:sz w:val="28"/>
        </w:rPr>
      </w:pPr>
      <w:r w:rsidRPr="00F85045">
        <w:rPr>
          <w:sz w:val="28"/>
        </w:rPr>
        <w:lastRenderedPageBreak/>
        <w:t xml:space="preserve">         Соблюдение данной нормы позволило району новый финансовый год начинать без задолженности по вышеуказанным выплатам.</w:t>
      </w:r>
    </w:p>
    <w:p w:rsidR="00F85045" w:rsidRPr="00F85045" w:rsidRDefault="00F85045" w:rsidP="00F85045">
      <w:pPr>
        <w:pStyle w:val="a4"/>
        <w:jc w:val="both"/>
        <w:rPr>
          <w:sz w:val="28"/>
        </w:rPr>
      </w:pPr>
      <w:r w:rsidRPr="00F85045">
        <w:rPr>
          <w:sz w:val="28"/>
        </w:rPr>
        <w:t xml:space="preserve">         На 2016 год бюджет Курского муниципального района Ставропольского края по расходам  сформирован по  12 муниципальным  программам. Исполнение программной части – 1 150 428,10 тыс. руб., при плановых назначениях- 1 165 198,33 тыс. руб.;  непрограммной -  52 041,13 тыс. руб. при назначенных – 52 157,04 тыс. руб.</w:t>
      </w:r>
    </w:p>
    <w:p w:rsidR="00F85045" w:rsidRPr="00F85045" w:rsidRDefault="00F85045" w:rsidP="00F85045">
      <w:pPr>
        <w:pStyle w:val="a4"/>
        <w:jc w:val="both"/>
        <w:rPr>
          <w:sz w:val="28"/>
        </w:rPr>
      </w:pPr>
      <w:r w:rsidRPr="00F85045">
        <w:rPr>
          <w:b/>
          <w:i/>
          <w:sz w:val="28"/>
        </w:rPr>
        <w:t xml:space="preserve">    </w:t>
      </w:r>
      <w:r w:rsidRPr="00F85045">
        <w:rPr>
          <w:sz w:val="28"/>
        </w:rPr>
        <w:t xml:space="preserve">     В разрезе отраслей исполнение выглядит следующим образом:</w:t>
      </w:r>
    </w:p>
    <w:p w:rsidR="00F85045" w:rsidRPr="00F85045" w:rsidRDefault="00F85045" w:rsidP="00F85045">
      <w:pPr>
        <w:pStyle w:val="a4"/>
        <w:ind w:firstLine="708"/>
        <w:jc w:val="both"/>
        <w:rPr>
          <w:sz w:val="28"/>
        </w:rPr>
      </w:pPr>
      <w:r w:rsidRPr="00F85045">
        <w:rPr>
          <w:sz w:val="28"/>
        </w:rPr>
        <w:t>- общегосударственные вопросы 73 556,10 тыс. руб. или 99,7% (рост в сравнении с 2015 годом на 5 151,73 тыс. руб.), в общем объеме расходов данный раздел занимает 6,1%;</w:t>
      </w:r>
    </w:p>
    <w:p w:rsidR="00F85045" w:rsidRPr="00F85045" w:rsidRDefault="00F85045" w:rsidP="00F85045">
      <w:pPr>
        <w:pStyle w:val="a4"/>
        <w:ind w:firstLine="708"/>
        <w:jc w:val="both"/>
        <w:rPr>
          <w:sz w:val="28"/>
        </w:rPr>
      </w:pPr>
      <w:r w:rsidRPr="00F85045">
        <w:rPr>
          <w:sz w:val="28"/>
        </w:rPr>
        <w:t>- национальная безопасность – 3 631,15 тыс. руб. или 100,0% (рост против 2015 года на 755,35 тыс., руб.) в общем объеме расходов – 0,3%;</w:t>
      </w:r>
    </w:p>
    <w:p w:rsidR="00F85045" w:rsidRPr="00F85045" w:rsidRDefault="00F85045" w:rsidP="00F85045">
      <w:pPr>
        <w:pStyle w:val="a4"/>
        <w:ind w:firstLine="708"/>
        <w:jc w:val="both"/>
        <w:rPr>
          <w:sz w:val="28"/>
        </w:rPr>
      </w:pPr>
      <w:r w:rsidRPr="00F85045">
        <w:rPr>
          <w:sz w:val="28"/>
        </w:rPr>
        <w:t>- национальная экономика – 56 138,44 тыс. руб. или 95,9% (снижение  против  2015 года на 1 593,32 тыс. руб.) в общем объеме расходов –4,7%;</w:t>
      </w:r>
    </w:p>
    <w:p w:rsidR="00F85045" w:rsidRPr="00F85045" w:rsidRDefault="00F85045" w:rsidP="00F85045">
      <w:pPr>
        <w:pStyle w:val="a4"/>
        <w:ind w:firstLine="708"/>
        <w:jc w:val="both"/>
        <w:rPr>
          <w:sz w:val="28"/>
        </w:rPr>
      </w:pPr>
      <w:r w:rsidRPr="00F85045">
        <w:rPr>
          <w:sz w:val="28"/>
        </w:rPr>
        <w:t>- жилищно-коммунальное хозяйство – 934,16 тыс. руб. или 99,9% (рост против  2015 года на 136,15 тыс. руб.) удельный вес в общем объеме расходов – 0,1%;</w:t>
      </w:r>
    </w:p>
    <w:p w:rsidR="00F85045" w:rsidRPr="00F85045" w:rsidRDefault="00F85045" w:rsidP="00F85045">
      <w:pPr>
        <w:pStyle w:val="a4"/>
        <w:ind w:firstLine="708"/>
        <w:jc w:val="both"/>
        <w:rPr>
          <w:sz w:val="28"/>
        </w:rPr>
      </w:pPr>
      <w:r w:rsidRPr="00F85045">
        <w:rPr>
          <w:sz w:val="28"/>
        </w:rPr>
        <w:t>- образование – 652 608,25 тыс. руб. или 99,9% (в сравнении с предыдущим годом снижение на 28 579,85 тыс. руб.) в общем объеме расходов – 54,3%;</w:t>
      </w:r>
    </w:p>
    <w:p w:rsidR="00F85045" w:rsidRPr="00F85045" w:rsidRDefault="00F85045" w:rsidP="00F85045">
      <w:pPr>
        <w:pStyle w:val="a4"/>
        <w:ind w:firstLine="708"/>
        <w:jc w:val="both"/>
        <w:rPr>
          <w:sz w:val="28"/>
        </w:rPr>
      </w:pPr>
      <w:r w:rsidRPr="00F85045">
        <w:rPr>
          <w:sz w:val="28"/>
        </w:rPr>
        <w:t>- культура, кинематография – 36 798,86 тыс. руб. или 100,0% (в сравнении с 2015 годом снижение на 9 896,20 тыс. руб.) в общем объеме расходов – 3,1%;</w:t>
      </w:r>
    </w:p>
    <w:p w:rsidR="00F85045" w:rsidRPr="00F85045" w:rsidRDefault="00F85045" w:rsidP="00F85045">
      <w:pPr>
        <w:pStyle w:val="a4"/>
        <w:ind w:firstLine="708"/>
        <w:jc w:val="both"/>
        <w:rPr>
          <w:sz w:val="28"/>
        </w:rPr>
      </w:pPr>
      <w:r w:rsidRPr="00F85045">
        <w:rPr>
          <w:sz w:val="28"/>
        </w:rPr>
        <w:t>- социальная политика – 328 835,85 тыс. руб. или 96,6% в сравнении с 2015 годом увеличение на 3 937,19 тыс. руб.) в общем объеме расходов – 27,3%;</w:t>
      </w:r>
    </w:p>
    <w:p w:rsidR="00F85045" w:rsidRPr="00F85045" w:rsidRDefault="00F85045" w:rsidP="00F85045">
      <w:pPr>
        <w:pStyle w:val="a4"/>
        <w:ind w:firstLine="708"/>
        <w:jc w:val="both"/>
        <w:rPr>
          <w:sz w:val="28"/>
        </w:rPr>
      </w:pPr>
      <w:r w:rsidRPr="00F85045">
        <w:rPr>
          <w:sz w:val="28"/>
        </w:rPr>
        <w:t>- физкультура и спорт – 6 525,42 тыс. руб. или 100,0% (в сравнении с 2015 годом увеличение на 1 523,39 тыс. руб.) – в общем объеме расходов – 0,5%;</w:t>
      </w:r>
    </w:p>
    <w:p w:rsidR="00F85045" w:rsidRPr="00F85045" w:rsidRDefault="00F85045" w:rsidP="00F85045">
      <w:pPr>
        <w:pStyle w:val="a4"/>
        <w:ind w:firstLine="708"/>
        <w:jc w:val="both"/>
        <w:rPr>
          <w:sz w:val="28"/>
        </w:rPr>
      </w:pPr>
      <w:r w:rsidRPr="00F85045">
        <w:rPr>
          <w:sz w:val="28"/>
        </w:rPr>
        <w:t>- межбюджетные трансферты – 43 441,00 тыс. руб. или 100,0% (увеличение против прошлого года на 3 790,84 тыс. руб.),  удельный вес – 3,6%.</w:t>
      </w:r>
    </w:p>
    <w:p w:rsidR="00F85045" w:rsidRPr="00F85045" w:rsidRDefault="00F85045" w:rsidP="00F85045">
      <w:pPr>
        <w:pStyle w:val="a4"/>
        <w:jc w:val="both"/>
        <w:rPr>
          <w:sz w:val="28"/>
        </w:rPr>
      </w:pPr>
      <w:r w:rsidRPr="00F85045">
        <w:rPr>
          <w:sz w:val="28"/>
        </w:rPr>
        <w:t xml:space="preserve">          В течение 2016 года кассовое исполнение выглядело следующим образом:  -  I кв. – 239 858,28 тыс. руб. или 19,9%; II кв.  – 364 436,09 тыс. руб. или 30,3%;  III кв.  – 244 189,92 тыс. руб. или 20,3%;  IV кв. – 353 984,94 тыс. руб. или 29,4%. </w:t>
      </w:r>
    </w:p>
    <w:p w:rsidR="00F85045" w:rsidRPr="00F85045" w:rsidRDefault="00F85045" w:rsidP="00F85045">
      <w:pPr>
        <w:pStyle w:val="a4"/>
        <w:jc w:val="both"/>
        <w:rPr>
          <w:sz w:val="28"/>
        </w:rPr>
      </w:pPr>
      <w:r w:rsidRPr="00F85045">
        <w:rPr>
          <w:sz w:val="28"/>
        </w:rPr>
        <w:t xml:space="preserve"> Структура расходов бюджета Курского муниципального района в разрезе экономических статей расходов выглядит следующим образом:</w:t>
      </w:r>
    </w:p>
    <w:p w:rsidR="00F85045" w:rsidRPr="00F85045" w:rsidRDefault="00F85045" w:rsidP="00F85045">
      <w:pPr>
        <w:pStyle w:val="a4"/>
        <w:ind w:firstLine="708"/>
        <w:jc w:val="both"/>
        <w:rPr>
          <w:sz w:val="28"/>
        </w:rPr>
      </w:pPr>
      <w:r w:rsidRPr="00F85045">
        <w:rPr>
          <w:sz w:val="28"/>
        </w:rPr>
        <w:t>- расходы по заработной плате и начисления на нее – 524 368,79 тыс. руб., или 43,6% в общем объеме расходов;</w:t>
      </w:r>
    </w:p>
    <w:p w:rsidR="00F85045" w:rsidRPr="00F85045" w:rsidRDefault="00F85045" w:rsidP="00F85045">
      <w:pPr>
        <w:pStyle w:val="a4"/>
        <w:ind w:firstLine="708"/>
        <w:jc w:val="both"/>
        <w:rPr>
          <w:sz w:val="28"/>
        </w:rPr>
      </w:pPr>
      <w:r w:rsidRPr="00F85045">
        <w:rPr>
          <w:sz w:val="28"/>
        </w:rPr>
        <w:t>- оплата работ, услуг (услуги связи, коммунальные услуги, услуги по содержанию имущества)  134 023,19 тыс. руб. – 11,2% в общем объеме расходов;</w:t>
      </w:r>
    </w:p>
    <w:p w:rsidR="00F85045" w:rsidRPr="00F85045" w:rsidRDefault="00F85045" w:rsidP="00F85045">
      <w:pPr>
        <w:pStyle w:val="a4"/>
        <w:ind w:firstLine="708"/>
        <w:jc w:val="both"/>
        <w:rPr>
          <w:sz w:val="28"/>
        </w:rPr>
      </w:pPr>
      <w:r w:rsidRPr="00F85045">
        <w:rPr>
          <w:sz w:val="28"/>
        </w:rPr>
        <w:lastRenderedPageBreak/>
        <w:t>- безвозмездные перечисления (в т.ч. господдержка сельского хозяйства)  – 60 306,97 тыс. руб. – 5,0% в общем объеме расходов;</w:t>
      </w:r>
    </w:p>
    <w:p w:rsidR="00F85045" w:rsidRPr="00F85045" w:rsidRDefault="00F85045" w:rsidP="00F85045">
      <w:pPr>
        <w:pStyle w:val="a4"/>
        <w:ind w:firstLine="708"/>
        <w:jc w:val="both"/>
        <w:rPr>
          <w:sz w:val="28"/>
        </w:rPr>
      </w:pPr>
      <w:r w:rsidRPr="00F85045">
        <w:rPr>
          <w:sz w:val="28"/>
        </w:rPr>
        <w:t>- межбюджетные трансферты (дотации поселениям) – 43 441,00 тыс. руб. – 3,6% в общем объеме расходов;</w:t>
      </w:r>
    </w:p>
    <w:p w:rsidR="00F85045" w:rsidRPr="00F85045" w:rsidRDefault="00F85045" w:rsidP="00F85045">
      <w:pPr>
        <w:pStyle w:val="a4"/>
        <w:ind w:firstLine="708"/>
        <w:jc w:val="both"/>
        <w:rPr>
          <w:sz w:val="28"/>
        </w:rPr>
      </w:pPr>
      <w:r w:rsidRPr="00F85045">
        <w:rPr>
          <w:sz w:val="28"/>
        </w:rPr>
        <w:t>- социальное обеспечение – 313 351,99 тыс. руб. – 26,1% в общем объеме расходов;</w:t>
      </w:r>
    </w:p>
    <w:p w:rsidR="00F85045" w:rsidRPr="00F85045" w:rsidRDefault="00F85045" w:rsidP="00F85045">
      <w:pPr>
        <w:pStyle w:val="a4"/>
        <w:ind w:firstLine="708"/>
        <w:jc w:val="both"/>
        <w:rPr>
          <w:sz w:val="28"/>
        </w:rPr>
      </w:pPr>
      <w:r w:rsidRPr="00F85045">
        <w:rPr>
          <w:sz w:val="28"/>
        </w:rPr>
        <w:t>- прочие расходы (налоги) – 9 254,61 тыс. руб. – 0,8% в общем объеме расходов;</w:t>
      </w:r>
    </w:p>
    <w:p w:rsidR="00F85045" w:rsidRPr="00F85045" w:rsidRDefault="00F85045" w:rsidP="00F85045">
      <w:pPr>
        <w:pStyle w:val="a4"/>
        <w:ind w:firstLine="708"/>
        <w:jc w:val="both"/>
        <w:rPr>
          <w:sz w:val="28"/>
        </w:rPr>
      </w:pPr>
      <w:r w:rsidRPr="00F85045">
        <w:rPr>
          <w:sz w:val="28"/>
        </w:rPr>
        <w:t>- увеличение стоимости основных средств – 65 465,98 тыс. руб. – 5,4% в общем объеме расходов;</w:t>
      </w:r>
    </w:p>
    <w:p w:rsidR="00F85045" w:rsidRPr="00F85045" w:rsidRDefault="00F85045" w:rsidP="00F85045">
      <w:pPr>
        <w:pStyle w:val="a4"/>
        <w:ind w:firstLine="708"/>
        <w:jc w:val="both"/>
        <w:rPr>
          <w:sz w:val="28"/>
        </w:rPr>
      </w:pPr>
      <w:r w:rsidRPr="00F85045">
        <w:rPr>
          <w:sz w:val="28"/>
        </w:rPr>
        <w:t xml:space="preserve">- продукты питания, горюче-смазочные материалы – 52 257,20 тыс. руб. – 4,4% в общем объеме расходов; </w:t>
      </w:r>
    </w:p>
    <w:p w:rsidR="00F85045" w:rsidRPr="00F85045" w:rsidRDefault="00F85045" w:rsidP="00F85045">
      <w:pPr>
        <w:pStyle w:val="a4"/>
        <w:jc w:val="both"/>
        <w:rPr>
          <w:sz w:val="28"/>
        </w:rPr>
      </w:pPr>
      <w:r w:rsidRPr="00F85045">
        <w:rPr>
          <w:sz w:val="28"/>
        </w:rPr>
        <w:tab/>
        <w:t>Кредиторской задолженности по социальным выплатам по состоянию на 01.01.2017 года нет.</w:t>
      </w:r>
    </w:p>
    <w:p w:rsidR="00F85045" w:rsidRPr="00F85045" w:rsidRDefault="00F85045" w:rsidP="00F85045">
      <w:pPr>
        <w:pStyle w:val="a4"/>
        <w:ind w:firstLine="708"/>
        <w:jc w:val="both"/>
        <w:rPr>
          <w:sz w:val="28"/>
        </w:rPr>
      </w:pPr>
      <w:r w:rsidRPr="00F85045">
        <w:rPr>
          <w:sz w:val="28"/>
        </w:rPr>
        <w:t>Постановлением правительства Ставропольского края от 18 декабря 2015 года  № 542-п для муниципальных образований района, и в том числе для самого района были утверждены нормативы формирования расходов на содержание органов местного самоуправления. Фактические расходы на содержание органов местного самоуправления за 2016 год составили 53 836,15 тыс. руб. при нормативе 61 583,97 тыс. руб.</w:t>
      </w:r>
    </w:p>
    <w:p w:rsidR="00F85045" w:rsidRPr="00F85045" w:rsidRDefault="00F85045" w:rsidP="00F85045">
      <w:pPr>
        <w:pStyle w:val="a4"/>
        <w:ind w:firstLine="708"/>
        <w:jc w:val="both"/>
        <w:rPr>
          <w:sz w:val="28"/>
        </w:rPr>
      </w:pPr>
      <w:r w:rsidRPr="00F85045">
        <w:rPr>
          <w:sz w:val="28"/>
        </w:rPr>
        <w:t xml:space="preserve">По материалам, отчетам и документам, представленным в Министерство финансов Ставропольского края в полном объеме и в установленные сроки, по мерам принятым администрацией муниципального района и Финансовым управлением за 2016 год, замечаний со стороны Министерства финансов Ставропольского края на приостановление предоставления межбюджетных трансфертов из бюджета Ставропольского края нет. </w:t>
      </w:r>
    </w:p>
    <w:p w:rsidR="0044228B" w:rsidRPr="00F85045" w:rsidRDefault="001F72DF" w:rsidP="00F85045">
      <w:pPr>
        <w:pStyle w:val="a4"/>
        <w:jc w:val="both"/>
        <w:rPr>
          <w:sz w:val="28"/>
          <w:lang w:eastAsia="en-US" w:bidi="en-US"/>
        </w:rPr>
      </w:pPr>
      <w:r w:rsidRPr="00F85045">
        <w:rPr>
          <w:b/>
          <w:sz w:val="28"/>
        </w:rPr>
        <w:t>Оганесян А.А.</w:t>
      </w:r>
      <w:r w:rsidR="005523BD" w:rsidRPr="00F85045">
        <w:rPr>
          <w:b/>
          <w:sz w:val="28"/>
        </w:rPr>
        <w:t xml:space="preserve"> </w:t>
      </w:r>
      <w:r w:rsidR="0044228B" w:rsidRPr="00F85045">
        <w:rPr>
          <w:sz w:val="28"/>
        </w:rPr>
        <w:t>Представил</w:t>
      </w:r>
      <w:r w:rsidR="005523BD" w:rsidRPr="00F85045">
        <w:rPr>
          <w:sz w:val="28"/>
        </w:rPr>
        <w:t xml:space="preserve"> </w:t>
      </w:r>
      <w:r w:rsidR="00042533" w:rsidRPr="00F85045">
        <w:rPr>
          <w:sz w:val="28"/>
        </w:rPr>
        <w:t xml:space="preserve">заключение Контрольно-счетного </w:t>
      </w:r>
      <w:r w:rsidR="0044228B" w:rsidRPr="00F85045">
        <w:rPr>
          <w:sz w:val="28"/>
        </w:rPr>
        <w:t>органа Курского муниципального района Ставропольского края</w:t>
      </w:r>
      <w:r w:rsidR="005523BD" w:rsidRPr="00F85045">
        <w:rPr>
          <w:sz w:val="28"/>
        </w:rPr>
        <w:t xml:space="preserve"> </w:t>
      </w:r>
      <w:r w:rsidR="00042533" w:rsidRPr="00F85045">
        <w:rPr>
          <w:sz w:val="28"/>
        </w:rPr>
        <w:t xml:space="preserve">на проект </w:t>
      </w:r>
      <w:r w:rsidRPr="00F85045">
        <w:rPr>
          <w:sz w:val="28"/>
        </w:rPr>
        <w:t xml:space="preserve">решения </w:t>
      </w:r>
      <w:r w:rsidR="00054F32" w:rsidRPr="00F85045">
        <w:rPr>
          <w:sz w:val="28"/>
        </w:rPr>
        <w:t>«Об исполнении бюджета Курского муниципального района Ставропольского края за 201</w:t>
      </w:r>
      <w:r w:rsidR="00F85045" w:rsidRPr="00F85045">
        <w:rPr>
          <w:sz w:val="28"/>
        </w:rPr>
        <w:t>6</w:t>
      </w:r>
      <w:r w:rsidR="00054F32" w:rsidRPr="00F85045">
        <w:rPr>
          <w:sz w:val="28"/>
        </w:rPr>
        <w:t xml:space="preserve"> год»</w:t>
      </w:r>
      <w:r w:rsidR="00B62286" w:rsidRPr="00F85045">
        <w:rPr>
          <w:sz w:val="28"/>
        </w:rPr>
        <w:t xml:space="preserve"> </w:t>
      </w:r>
      <w:r w:rsidR="0044228B" w:rsidRPr="00F85045">
        <w:rPr>
          <w:sz w:val="28"/>
        </w:rPr>
        <w:t>(прилагается).</w:t>
      </w:r>
    </w:p>
    <w:p w:rsidR="00C34DCF" w:rsidRDefault="005D337F" w:rsidP="00C34DCF">
      <w:pPr>
        <w:pStyle w:val="a4"/>
        <w:ind w:firstLine="708"/>
        <w:jc w:val="both"/>
        <w:rPr>
          <w:sz w:val="28"/>
          <w:szCs w:val="28"/>
        </w:rPr>
      </w:pPr>
      <w:r>
        <w:rPr>
          <w:b/>
          <w:sz w:val="28"/>
          <w:szCs w:val="28"/>
        </w:rPr>
        <w:t>Н.В.Цикишев</w:t>
      </w:r>
      <w:r w:rsidR="00EF32F1">
        <w:rPr>
          <w:b/>
          <w:sz w:val="28"/>
          <w:szCs w:val="28"/>
        </w:rPr>
        <w:t xml:space="preserve"> </w:t>
      </w:r>
      <w:r w:rsidR="00C34DCF" w:rsidRPr="00C34DCF">
        <w:rPr>
          <w:sz w:val="28"/>
          <w:szCs w:val="28"/>
        </w:rPr>
        <w:t>«</w:t>
      </w:r>
      <w:r w:rsidR="00EF32F1" w:rsidRPr="00844DFC">
        <w:rPr>
          <w:sz w:val="28"/>
          <w:szCs w:val="28"/>
        </w:rPr>
        <w:t xml:space="preserve">У кого какие есть вопросы, дополнения и изменения? Вопросов, дополнений и изменений не поступило. </w:t>
      </w:r>
    </w:p>
    <w:p w:rsidR="00EF32F1" w:rsidRPr="00844DFC" w:rsidRDefault="00EF32F1" w:rsidP="00EF32F1">
      <w:pPr>
        <w:pStyle w:val="a4"/>
        <w:ind w:firstLine="708"/>
        <w:jc w:val="both"/>
        <w:rPr>
          <w:sz w:val="28"/>
          <w:szCs w:val="28"/>
        </w:rPr>
      </w:pPr>
      <w:r w:rsidRPr="00844DFC">
        <w:rPr>
          <w:sz w:val="28"/>
          <w:szCs w:val="28"/>
        </w:rPr>
        <w:t xml:space="preserve">Подводя итог публичных слушаний, вношу предложение: </w:t>
      </w:r>
    </w:p>
    <w:p w:rsidR="00C34DCF" w:rsidRDefault="00C34DCF" w:rsidP="00F85045">
      <w:pPr>
        <w:pStyle w:val="a4"/>
        <w:ind w:firstLine="708"/>
        <w:jc w:val="both"/>
        <w:rPr>
          <w:sz w:val="28"/>
          <w:szCs w:val="28"/>
        </w:rPr>
      </w:pPr>
      <w:r>
        <w:rPr>
          <w:sz w:val="28"/>
          <w:szCs w:val="28"/>
        </w:rPr>
        <w:t>Н</w:t>
      </w:r>
      <w:r w:rsidRPr="00BA7DC6">
        <w:rPr>
          <w:sz w:val="28"/>
          <w:szCs w:val="28"/>
        </w:rPr>
        <w:t xml:space="preserve">аправить </w:t>
      </w:r>
      <w:r w:rsidRPr="00753152">
        <w:rPr>
          <w:sz w:val="28"/>
          <w:szCs w:val="28"/>
        </w:rPr>
        <w:t>проект</w:t>
      </w:r>
      <w:r>
        <w:rPr>
          <w:sz w:val="28"/>
          <w:szCs w:val="28"/>
        </w:rPr>
        <w:t xml:space="preserve"> </w:t>
      </w:r>
      <w:r w:rsidRPr="00753152">
        <w:rPr>
          <w:sz w:val="28"/>
          <w:szCs w:val="28"/>
        </w:rPr>
        <w:t>решения совета Курского муниципального района Став</w:t>
      </w:r>
      <w:r>
        <w:rPr>
          <w:sz w:val="28"/>
          <w:szCs w:val="28"/>
        </w:rPr>
        <w:t>ропольского края «Об исполнении</w:t>
      </w:r>
      <w:r w:rsidRPr="00753152">
        <w:rPr>
          <w:sz w:val="28"/>
          <w:szCs w:val="28"/>
        </w:rPr>
        <w:t xml:space="preserve"> бюджета Курского муниципального района Ставропольского края за 201</w:t>
      </w:r>
      <w:r>
        <w:rPr>
          <w:sz w:val="28"/>
          <w:szCs w:val="28"/>
        </w:rPr>
        <w:t>5</w:t>
      </w:r>
      <w:r w:rsidRPr="00753152">
        <w:rPr>
          <w:sz w:val="28"/>
          <w:szCs w:val="28"/>
        </w:rPr>
        <w:t xml:space="preserve"> год»</w:t>
      </w:r>
      <w:r>
        <w:rPr>
          <w:sz w:val="28"/>
          <w:szCs w:val="28"/>
        </w:rPr>
        <w:t xml:space="preserve"> в совет </w:t>
      </w:r>
      <w:r w:rsidRPr="00BA7DC6">
        <w:rPr>
          <w:sz w:val="28"/>
          <w:szCs w:val="28"/>
        </w:rPr>
        <w:t>Курского муниципального района Ставропольского края для утверждения.</w:t>
      </w:r>
    </w:p>
    <w:p w:rsidR="00EF32F1" w:rsidRPr="00F85045" w:rsidRDefault="00EF32F1" w:rsidP="00EF32F1">
      <w:pPr>
        <w:pStyle w:val="a4"/>
        <w:jc w:val="both"/>
        <w:rPr>
          <w:b/>
          <w:sz w:val="28"/>
          <w:szCs w:val="28"/>
        </w:rPr>
      </w:pPr>
      <w:r w:rsidRPr="00F85045">
        <w:rPr>
          <w:b/>
          <w:sz w:val="28"/>
          <w:szCs w:val="28"/>
        </w:rPr>
        <w:t>ГОЛОСОВАЛИ:</w:t>
      </w:r>
    </w:p>
    <w:p w:rsidR="00EF32F1" w:rsidRDefault="00EF32F1" w:rsidP="00EF32F1">
      <w:pPr>
        <w:pStyle w:val="a4"/>
        <w:jc w:val="both"/>
        <w:rPr>
          <w:sz w:val="28"/>
          <w:szCs w:val="28"/>
        </w:rPr>
      </w:pPr>
      <w:r>
        <w:rPr>
          <w:sz w:val="28"/>
          <w:szCs w:val="28"/>
        </w:rPr>
        <w:t>«ЗА» - единогласно.</w:t>
      </w:r>
    </w:p>
    <w:p w:rsidR="00C34DCF" w:rsidRDefault="00C34DCF" w:rsidP="00C34DCF">
      <w:pPr>
        <w:pStyle w:val="a4"/>
        <w:ind w:firstLine="708"/>
        <w:jc w:val="both"/>
        <w:rPr>
          <w:sz w:val="28"/>
          <w:szCs w:val="28"/>
        </w:rPr>
      </w:pPr>
      <w:r w:rsidRPr="00BA7DC6">
        <w:rPr>
          <w:sz w:val="28"/>
          <w:szCs w:val="28"/>
        </w:rPr>
        <w:t xml:space="preserve">Публичные слушания по </w:t>
      </w:r>
      <w:r>
        <w:rPr>
          <w:sz w:val="28"/>
          <w:szCs w:val="28"/>
        </w:rPr>
        <w:t xml:space="preserve">обсуждению </w:t>
      </w:r>
      <w:r w:rsidRPr="00753152">
        <w:rPr>
          <w:sz w:val="28"/>
          <w:szCs w:val="28"/>
        </w:rPr>
        <w:t>проект</w:t>
      </w:r>
      <w:r>
        <w:rPr>
          <w:sz w:val="28"/>
          <w:szCs w:val="28"/>
        </w:rPr>
        <w:t>а</w:t>
      </w:r>
      <w:r w:rsidRPr="00753152">
        <w:rPr>
          <w:sz w:val="28"/>
          <w:szCs w:val="28"/>
        </w:rPr>
        <w:t xml:space="preserve"> решения совета Курского муниципального района Ставропольского края «Об исполнении  бюджета Курского муниципального района Ставропольского края за 201</w:t>
      </w:r>
      <w:r>
        <w:rPr>
          <w:sz w:val="28"/>
          <w:szCs w:val="28"/>
        </w:rPr>
        <w:t>5</w:t>
      </w:r>
      <w:r w:rsidRPr="00753152">
        <w:rPr>
          <w:sz w:val="28"/>
          <w:szCs w:val="28"/>
        </w:rPr>
        <w:t xml:space="preserve"> год» </w:t>
      </w:r>
      <w:r w:rsidRPr="00BA7DC6">
        <w:rPr>
          <w:sz w:val="28"/>
          <w:szCs w:val="28"/>
        </w:rPr>
        <w:t>считать состоявшимися.</w:t>
      </w:r>
    </w:p>
    <w:p w:rsidR="001544CE" w:rsidRPr="001544CE" w:rsidRDefault="001544CE" w:rsidP="00154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44CE">
        <w:rPr>
          <w:rFonts w:ascii="Times New Roman" w:hAnsi="Times New Roman" w:cs="Times New Roman"/>
          <w:sz w:val="28"/>
          <w:szCs w:val="28"/>
        </w:rPr>
        <w:t>Протокол и результаты публичных слушаний подлежат обнародованию в срок до 05 июня 2016 года.</w:t>
      </w:r>
    </w:p>
    <w:p w:rsidR="0047551F" w:rsidRDefault="0047551F" w:rsidP="003B0AAC">
      <w:pPr>
        <w:spacing w:after="0" w:line="240" w:lineRule="auto"/>
        <w:jc w:val="both"/>
        <w:rPr>
          <w:rFonts w:ascii="Times New Roman" w:hAnsi="Times New Roman" w:cs="Times New Roman"/>
          <w:sz w:val="28"/>
          <w:szCs w:val="28"/>
        </w:rPr>
      </w:pPr>
    </w:p>
    <w:p w:rsidR="00B62286" w:rsidRDefault="00B62286" w:rsidP="003B0AAC">
      <w:pPr>
        <w:spacing w:after="0" w:line="240" w:lineRule="auto"/>
        <w:jc w:val="both"/>
        <w:rPr>
          <w:rFonts w:ascii="Times New Roman" w:hAnsi="Times New Roman" w:cs="Times New Roman"/>
          <w:sz w:val="28"/>
          <w:szCs w:val="28"/>
        </w:rPr>
      </w:pPr>
    </w:p>
    <w:p w:rsidR="00B62286" w:rsidRPr="00D055C1" w:rsidRDefault="00B62286" w:rsidP="003B0AAC">
      <w:pPr>
        <w:spacing w:after="0" w:line="240" w:lineRule="auto"/>
        <w:jc w:val="both"/>
        <w:rPr>
          <w:rFonts w:ascii="Times New Roman" w:hAnsi="Times New Roman" w:cs="Times New Roman"/>
          <w:sz w:val="28"/>
          <w:szCs w:val="28"/>
        </w:rPr>
      </w:pPr>
    </w:p>
    <w:p w:rsidR="003B0AAC" w:rsidRPr="00D055C1" w:rsidRDefault="0032307D" w:rsidP="003B0AAC">
      <w:pPr>
        <w:spacing w:after="0" w:line="240" w:lineRule="auto"/>
        <w:jc w:val="both"/>
        <w:rPr>
          <w:rFonts w:ascii="Times New Roman" w:hAnsi="Times New Roman" w:cs="Times New Roman"/>
          <w:sz w:val="28"/>
          <w:szCs w:val="28"/>
        </w:rPr>
      </w:pPr>
      <w:r w:rsidRPr="00D055C1">
        <w:rPr>
          <w:rFonts w:ascii="Times New Roman" w:hAnsi="Times New Roman" w:cs="Times New Roman"/>
          <w:sz w:val="28"/>
          <w:szCs w:val="28"/>
        </w:rPr>
        <w:t>Председатель заседания</w:t>
      </w:r>
      <w:r w:rsidR="005523BD">
        <w:rPr>
          <w:rFonts w:ascii="Times New Roman" w:hAnsi="Times New Roman" w:cs="Times New Roman"/>
          <w:sz w:val="28"/>
          <w:szCs w:val="28"/>
        </w:rPr>
        <w:t xml:space="preserve">                                                     </w:t>
      </w:r>
      <w:r w:rsidR="005D337F">
        <w:rPr>
          <w:rFonts w:ascii="Times New Roman" w:hAnsi="Times New Roman" w:cs="Times New Roman"/>
          <w:sz w:val="28"/>
          <w:szCs w:val="28"/>
        </w:rPr>
        <w:t xml:space="preserve">        </w:t>
      </w:r>
      <w:r w:rsidR="005523BD">
        <w:rPr>
          <w:rFonts w:ascii="Times New Roman" w:hAnsi="Times New Roman" w:cs="Times New Roman"/>
          <w:sz w:val="28"/>
          <w:szCs w:val="28"/>
        </w:rPr>
        <w:t xml:space="preserve">    </w:t>
      </w:r>
      <w:r w:rsidR="005D337F">
        <w:rPr>
          <w:rFonts w:ascii="Times New Roman" w:hAnsi="Times New Roman" w:cs="Times New Roman"/>
          <w:sz w:val="28"/>
          <w:szCs w:val="28"/>
        </w:rPr>
        <w:t>Н.В.Цикишев</w:t>
      </w:r>
    </w:p>
    <w:p w:rsidR="001F72DF" w:rsidRDefault="001F72DF" w:rsidP="00A862F4">
      <w:pPr>
        <w:spacing w:after="0" w:line="240" w:lineRule="auto"/>
        <w:jc w:val="both"/>
        <w:rPr>
          <w:rFonts w:ascii="Times New Roman" w:hAnsi="Times New Roman" w:cs="Times New Roman"/>
          <w:sz w:val="28"/>
          <w:szCs w:val="28"/>
        </w:rPr>
      </w:pPr>
    </w:p>
    <w:p w:rsidR="005D337F" w:rsidRDefault="005D337F" w:rsidP="00A862F4">
      <w:pPr>
        <w:spacing w:after="0" w:line="240" w:lineRule="auto"/>
        <w:jc w:val="both"/>
        <w:rPr>
          <w:rFonts w:ascii="Times New Roman" w:hAnsi="Times New Roman" w:cs="Times New Roman"/>
          <w:sz w:val="28"/>
          <w:szCs w:val="28"/>
        </w:rPr>
      </w:pPr>
    </w:p>
    <w:p w:rsidR="005F52EA" w:rsidRPr="00D055C1" w:rsidRDefault="003B0AAC" w:rsidP="00A862F4">
      <w:pPr>
        <w:spacing w:after="0" w:line="240" w:lineRule="auto"/>
        <w:jc w:val="both"/>
        <w:rPr>
          <w:rFonts w:ascii="Times New Roman" w:hAnsi="Times New Roman" w:cs="Times New Roman"/>
          <w:sz w:val="28"/>
          <w:szCs w:val="28"/>
        </w:rPr>
      </w:pPr>
      <w:r w:rsidRPr="00D055C1">
        <w:rPr>
          <w:rFonts w:ascii="Times New Roman" w:hAnsi="Times New Roman" w:cs="Times New Roman"/>
          <w:sz w:val="28"/>
          <w:szCs w:val="28"/>
        </w:rPr>
        <w:t xml:space="preserve">Секретарь </w:t>
      </w:r>
      <w:r w:rsidR="0032307D" w:rsidRPr="00D055C1">
        <w:rPr>
          <w:rFonts w:ascii="Times New Roman" w:hAnsi="Times New Roman" w:cs="Times New Roman"/>
          <w:sz w:val="28"/>
          <w:szCs w:val="28"/>
        </w:rPr>
        <w:t xml:space="preserve">заседания                                                              </w:t>
      </w:r>
      <w:r w:rsidR="005D337F">
        <w:rPr>
          <w:rFonts w:ascii="Times New Roman" w:hAnsi="Times New Roman" w:cs="Times New Roman"/>
          <w:sz w:val="28"/>
          <w:szCs w:val="28"/>
        </w:rPr>
        <w:t xml:space="preserve">        </w:t>
      </w:r>
      <w:r w:rsidR="0032307D" w:rsidRPr="00D055C1">
        <w:rPr>
          <w:rFonts w:ascii="Times New Roman" w:hAnsi="Times New Roman" w:cs="Times New Roman"/>
          <w:sz w:val="28"/>
          <w:szCs w:val="28"/>
        </w:rPr>
        <w:t xml:space="preserve"> </w:t>
      </w:r>
      <w:r w:rsidR="006475A2">
        <w:rPr>
          <w:rFonts w:ascii="Times New Roman" w:hAnsi="Times New Roman" w:cs="Times New Roman"/>
          <w:sz w:val="28"/>
          <w:szCs w:val="28"/>
        </w:rPr>
        <w:t>И.Н.Бармина</w:t>
      </w:r>
    </w:p>
    <w:sectPr w:rsidR="005F52EA" w:rsidRPr="00D055C1" w:rsidSect="00982E59">
      <w:headerReference w:type="default" r:id="rId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DA" w:rsidRDefault="005224DA" w:rsidP="00332628">
      <w:pPr>
        <w:spacing w:after="0" w:line="240" w:lineRule="auto"/>
      </w:pPr>
      <w:r>
        <w:separator/>
      </w:r>
    </w:p>
  </w:endnote>
  <w:endnote w:type="continuationSeparator" w:id="0">
    <w:p w:rsidR="005224DA" w:rsidRDefault="005224DA" w:rsidP="003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DA" w:rsidRDefault="005224DA" w:rsidP="00332628">
      <w:pPr>
        <w:spacing w:after="0" w:line="240" w:lineRule="auto"/>
      </w:pPr>
      <w:r>
        <w:separator/>
      </w:r>
    </w:p>
  </w:footnote>
  <w:footnote w:type="continuationSeparator" w:id="0">
    <w:p w:rsidR="005224DA" w:rsidRDefault="005224DA" w:rsidP="0033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5079"/>
    </w:sdtPr>
    <w:sdtEndPr/>
    <w:sdtContent>
      <w:p w:rsidR="00C34DCF" w:rsidRDefault="004B4760">
        <w:pPr>
          <w:pStyle w:val="aa"/>
          <w:jc w:val="right"/>
        </w:pPr>
        <w:r>
          <w:fldChar w:fldCharType="begin"/>
        </w:r>
        <w:r>
          <w:instrText xml:space="preserve"> PAGE   \* MERGEFORMAT </w:instrText>
        </w:r>
        <w:r>
          <w:fldChar w:fldCharType="separate"/>
        </w:r>
        <w:r w:rsidR="00DD2265">
          <w:rPr>
            <w:noProof/>
          </w:rPr>
          <w:t>2</w:t>
        </w:r>
        <w:r>
          <w:rPr>
            <w:noProof/>
          </w:rPr>
          <w:fldChar w:fldCharType="end"/>
        </w:r>
      </w:p>
    </w:sdtContent>
  </w:sdt>
  <w:p w:rsidR="00C34DCF" w:rsidRDefault="00C34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E54"/>
    <w:multiLevelType w:val="hybridMultilevel"/>
    <w:tmpl w:val="33720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70A5C"/>
    <w:multiLevelType w:val="hybridMultilevel"/>
    <w:tmpl w:val="D758D5A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663843"/>
    <w:multiLevelType w:val="hybridMultilevel"/>
    <w:tmpl w:val="44107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AC"/>
    <w:rsid w:val="000229AA"/>
    <w:rsid w:val="000375AE"/>
    <w:rsid w:val="00042533"/>
    <w:rsid w:val="00054F32"/>
    <w:rsid w:val="0013701F"/>
    <w:rsid w:val="00140978"/>
    <w:rsid w:val="001544CE"/>
    <w:rsid w:val="00160C85"/>
    <w:rsid w:val="001C58AB"/>
    <w:rsid w:val="001F72DF"/>
    <w:rsid w:val="00235F01"/>
    <w:rsid w:val="00255656"/>
    <w:rsid w:val="002719A5"/>
    <w:rsid w:val="00294601"/>
    <w:rsid w:val="002E4429"/>
    <w:rsid w:val="0032307D"/>
    <w:rsid w:val="00330A80"/>
    <w:rsid w:val="00332628"/>
    <w:rsid w:val="003A663D"/>
    <w:rsid w:val="003B0AAC"/>
    <w:rsid w:val="00407555"/>
    <w:rsid w:val="0044228B"/>
    <w:rsid w:val="0044518D"/>
    <w:rsid w:val="00462C13"/>
    <w:rsid w:val="0047551F"/>
    <w:rsid w:val="00484A10"/>
    <w:rsid w:val="004A14A7"/>
    <w:rsid w:val="004B4760"/>
    <w:rsid w:val="004C2753"/>
    <w:rsid w:val="004E329B"/>
    <w:rsid w:val="005224DA"/>
    <w:rsid w:val="005261DB"/>
    <w:rsid w:val="005523BD"/>
    <w:rsid w:val="00561535"/>
    <w:rsid w:val="005A202E"/>
    <w:rsid w:val="005D27EB"/>
    <w:rsid w:val="005D337F"/>
    <w:rsid w:val="005E20F1"/>
    <w:rsid w:val="005F52EA"/>
    <w:rsid w:val="00627773"/>
    <w:rsid w:val="006420BB"/>
    <w:rsid w:val="006475A2"/>
    <w:rsid w:val="006A7D72"/>
    <w:rsid w:val="006E0F69"/>
    <w:rsid w:val="00753152"/>
    <w:rsid w:val="0078071D"/>
    <w:rsid w:val="007A5D3D"/>
    <w:rsid w:val="007A5D77"/>
    <w:rsid w:val="007D5F10"/>
    <w:rsid w:val="007E388F"/>
    <w:rsid w:val="0080652B"/>
    <w:rsid w:val="00916000"/>
    <w:rsid w:val="00927219"/>
    <w:rsid w:val="00936CE5"/>
    <w:rsid w:val="009808D4"/>
    <w:rsid w:val="00982E59"/>
    <w:rsid w:val="00994D01"/>
    <w:rsid w:val="00A02B94"/>
    <w:rsid w:val="00A22E1A"/>
    <w:rsid w:val="00A33893"/>
    <w:rsid w:val="00A862F4"/>
    <w:rsid w:val="00AE6F89"/>
    <w:rsid w:val="00AF4DFC"/>
    <w:rsid w:val="00B62286"/>
    <w:rsid w:val="00BA7DC6"/>
    <w:rsid w:val="00BC6CD5"/>
    <w:rsid w:val="00C110C6"/>
    <w:rsid w:val="00C23CA6"/>
    <w:rsid w:val="00C34DCF"/>
    <w:rsid w:val="00C35AE6"/>
    <w:rsid w:val="00C466AD"/>
    <w:rsid w:val="00C73041"/>
    <w:rsid w:val="00C74391"/>
    <w:rsid w:val="00CD6D00"/>
    <w:rsid w:val="00CE5194"/>
    <w:rsid w:val="00D055C1"/>
    <w:rsid w:val="00DA5F51"/>
    <w:rsid w:val="00DD2265"/>
    <w:rsid w:val="00ED1D2A"/>
    <w:rsid w:val="00EF32F1"/>
    <w:rsid w:val="00F31A9D"/>
    <w:rsid w:val="00F37CC5"/>
    <w:rsid w:val="00F45B4E"/>
    <w:rsid w:val="00F64BBB"/>
    <w:rsid w:val="00F85045"/>
    <w:rsid w:val="00FC0262"/>
    <w:rsid w:val="00FE5C80"/>
    <w:rsid w:val="00FF5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qFormat/>
    <w:rsid w:val="00994D01"/>
    <w:pPr>
      <w:spacing w:before="240" w:after="60" w:line="240" w:lineRule="auto"/>
      <w:outlineLvl w:val="6"/>
    </w:pPr>
    <w:rPr>
      <w:rFonts w:ascii="Calibri" w:eastAsia="Times New Roman" w:hAnsi="Calibri" w:cs="Times New Roman"/>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3B0AAC"/>
    <w:rPr>
      <w:sz w:val="24"/>
      <w:szCs w:val="24"/>
    </w:rPr>
  </w:style>
  <w:style w:type="paragraph" w:styleId="30">
    <w:name w:val="Body Text Indent 3"/>
    <w:basedOn w:val="a"/>
    <w:link w:val="3"/>
    <w:rsid w:val="003B0AAC"/>
    <w:pPr>
      <w:autoSpaceDE w:val="0"/>
      <w:autoSpaceDN w:val="0"/>
      <w:adjustRightInd w:val="0"/>
      <w:spacing w:after="0" w:line="240" w:lineRule="auto"/>
      <w:ind w:firstLine="540"/>
    </w:pPr>
    <w:rPr>
      <w:sz w:val="24"/>
      <w:szCs w:val="24"/>
    </w:rPr>
  </w:style>
  <w:style w:type="character" w:customStyle="1" w:styleId="31">
    <w:name w:val="Основной текст с отступом 3 Знак1"/>
    <w:basedOn w:val="a0"/>
    <w:uiPriority w:val="99"/>
    <w:semiHidden/>
    <w:rsid w:val="003B0AAC"/>
    <w:rPr>
      <w:sz w:val="16"/>
      <w:szCs w:val="16"/>
    </w:rPr>
  </w:style>
  <w:style w:type="table" w:styleId="a3">
    <w:name w:val="Table Grid"/>
    <w:basedOn w:val="a1"/>
    <w:rsid w:val="003B0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1 Знак"/>
    <w:basedOn w:val="a"/>
    <w:rsid w:val="003B0A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3B0AA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link w:val="a5"/>
    <w:uiPriority w:val="1"/>
    <w:qFormat/>
    <w:rsid w:val="003B0AAC"/>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3B0AAC"/>
    <w:rPr>
      <w:rFonts w:ascii="Times New Roman" w:eastAsia="Times New Roman" w:hAnsi="Times New Roman" w:cs="Times New Roman"/>
      <w:sz w:val="24"/>
      <w:szCs w:val="24"/>
    </w:rPr>
  </w:style>
  <w:style w:type="paragraph" w:styleId="a6">
    <w:name w:val="Body Text"/>
    <w:basedOn w:val="a"/>
    <w:link w:val="a7"/>
    <w:rsid w:val="00CD6D0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D6D00"/>
    <w:rPr>
      <w:rFonts w:ascii="Times New Roman" w:eastAsia="Times New Roman" w:hAnsi="Times New Roman" w:cs="Times New Roman"/>
      <w:sz w:val="24"/>
      <w:szCs w:val="24"/>
    </w:rPr>
  </w:style>
  <w:style w:type="character" w:styleId="a8">
    <w:name w:val="Hyperlink"/>
    <w:basedOn w:val="a0"/>
    <w:uiPriority w:val="99"/>
    <w:unhideWhenUsed/>
    <w:rsid w:val="00CD6D00"/>
    <w:rPr>
      <w:color w:val="0000FF"/>
      <w:u w:val="single"/>
    </w:rPr>
  </w:style>
  <w:style w:type="paragraph" w:styleId="a9">
    <w:name w:val="List Paragraph"/>
    <w:basedOn w:val="a"/>
    <w:uiPriority w:val="34"/>
    <w:qFormat/>
    <w:rsid w:val="00DA5F51"/>
    <w:pPr>
      <w:ind w:left="720"/>
      <w:contextualSpacing/>
    </w:pPr>
  </w:style>
  <w:style w:type="paragraph" w:styleId="aa">
    <w:name w:val="header"/>
    <w:basedOn w:val="a"/>
    <w:link w:val="ab"/>
    <w:uiPriority w:val="99"/>
    <w:unhideWhenUsed/>
    <w:rsid w:val="003326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2628"/>
  </w:style>
  <w:style w:type="paragraph" w:styleId="ac">
    <w:name w:val="footer"/>
    <w:basedOn w:val="a"/>
    <w:link w:val="ad"/>
    <w:uiPriority w:val="99"/>
    <w:semiHidden/>
    <w:unhideWhenUsed/>
    <w:rsid w:val="003326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2628"/>
  </w:style>
  <w:style w:type="paragraph" w:styleId="ae">
    <w:name w:val="Balloon Text"/>
    <w:basedOn w:val="a"/>
    <w:link w:val="af"/>
    <w:uiPriority w:val="99"/>
    <w:semiHidden/>
    <w:unhideWhenUsed/>
    <w:rsid w:val="001C58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8AB"/>
    <w:rPr>
      <w:rFonts w:ascii="Tahoma" w:hAnsi="Tahoma" w:cs="Tahoma"/>
      <w:sz w:val="16"/>
      <w:szCs w:val="16"/>
    </w:rPr>
  </w:style>
  <w:style w:type="paragraph" w:styleId="32">
    <w:name w:val="Body Text 3"/>
    <w:basedOn w:val="a"/>
    <w:link w:val="33"/>
    <w:uiPriority w:val="99"/>
    <w:unhideWhenUsed/>
    <w:rsid w:val="00462C13"/>
    <w:pPr>
      <w:spacing w:after="120"/>
    </w:pPr>
    <w:rPr>
      <w:sz w:val="16"/>
      <w:szCs w:val="16"/>
    </w:rPr>
  </w:style>
  <w:style w:type="character" w:customStyle="1" w:styleId="33">
    <w:name w:val="Основной текст 3 Знак"/>
    <w:basedOn w:val="a0"/>
    <w:link w:val="32"/>
    <w:uiPriority w:val="99"/>
    <w:rsid w:val="00462C13"/>
    <w:rPr>
      <w:sz w:val="16"/>
      <w:szCs w:val="16"/>
    </w:rPr>
  </w:style>
  <w:style w:type="character" w:customStyle="1" w:styleId="70">
    <w:name w:val="Заголовок 7 Знак"/>
    <w:basedOn w:val="a0"/>
    <w:link w:val="7"/>
    <w:uiPriority w:val="9"/>
    <w:rsid w:val="00994D01"/>
    <w:rPr>
      <w:rFonts w:ascii="Calibri" w:eastAsia="Times New Roman" w:hAnsi="Calibri" w:cs="Times New Roman"/>
      <w:sz w:val="24"/>
      <w:szCs w:val="24"/>
      <w:lang w:val="en-US" w:eastAsia="en-US" w:bidi="en-US"/>
    </w:rPr>
  </w:style>
  <w:style w:type="character" w:customStyle="1" w:styleId="FontStyle13">
    <w:name w:val="Font Style13"/>
    <w:basedOn w:val="a0"/>
    <w:uiPriority w:val="99"/>
    <w:rsid w:val="00F85045"/>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qFormat/>
    <w:rsid w:val="00994D01"/>
    <w:pPr>
      <w:spacing w:before="240" w:after="60" w:line="240" w:lineRule="auto"/>
      <w:outlineLvl w:val="6"/>
    </w:pPr>
    <w:rPr>
      <w:rFonts w:ascii="Calibri" w:eastAsia="Times New Roman" w:hAnsi="Calibri" w:cs="Times New Roman"/>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3B0AAC"/>
    <w:rPr>
      <w:sz w:val="24"/>
      <w:szCs w:val="24"/>
    </w:rPr>
  </w:style>
  <w:style w:type="paragraph" w:styleId="30">
    <w:name w:val="Body Text Indent 3"/>
    <w:basedOn w:val="a"/>
    <w:link w:val="3"/>
    <w:rsid w:val="003B0AAC"/>
    <w:pPr>
      <w:autoSpaceDE w:val="0"/>
      <w:autoSpaceDN w:val="0"/>
      <w:adjustRightInd w:val="0"/>
      <w:spacing w:after="0" w:line="240" w:lineRule="auto"/>
      <w:ind w:firstLine="540"/>
    </w:pPr>
    <w:rPr>
      <w:sz w:val="24"/>
      <w:szCs w:val="24"/>
    </w:rPr>
  </w:style>
  <w:style w:type="character" w:customStyle="1" w:styleId="31">
    <w:name w:val="Основной текст с отступом 3 Знак1"/>
    <w:basedOn w:val="a0"/>
    <w:uiPriority w:val="99"/>
    <w:semiHidden/>
    <w:rsid w:val="003B0AAC"/>
    <w:rPr>
      <w:sz w:val="16"/>
      <w:szCs w:val="16"/>
    </w:rPr>
  </w:style>
  <w:style w:type="table" w:styleId="a3">
    <w:name w:val="Table Grid"/>
    <w:basedOn w:val="a1"/>
    <w:rsid w:val="003B0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1 Знак"/>
    <w:basedOn w:val="a"/>
    <w:rsid w:val="003B0A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3B0AA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link w:val="a5"/>
    <w:uiPriority w:val="1"/>
    <w:qFormat/>
    <w:rsid w:val="003B0AAC"/>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3B0AAC"/>
    <w:rPr>
      <w:rFonts w:ascii="Times New Roman" w:eastAsia="Times New Roman" w:hAnsi="Times New Roman" w:cs="Times New Roman"/>
      <w:sz w:val="24"/>
      <w:szCs w:val="24"/>
    </w:rPr>
  </w:style>
  <w:style w:type="paragraph" w:styleId="a6">
    <w:name w:val="Body Text"/>
    <w:basedOn w:val="a"/>
    <w:link w:val="a7"/>
    <w:rsid w:val="00CD6D0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D6D00"/>
    <w:rPr>
      <w:rFonts w:ascii="Times New Roman" w:eastAsia="Times New Roman" w:hAnsi="Times New Roman" w:cs="Times New Roman"/>
      <w:sz w:val="24"/>
      <w:szCs w:val="24"/>
    </w:rPr>
  </w:style>
  <w:style w:type="character" w:styleId="a8">
    <w:name w:val="Hyperlink"/>
    <w:basedOn w:val="a0"/>
    <w:uiPriority w:val="99"/>
    <w:unhideWhenUsed/>
    <w:rsid w:val="00CD6D00"/>
    <w:rPr>
      <w:color w:val="0000FF"/>
      <w:u w:val="single"/>
    </w:rPr>
  </w:style>
  <w:style w:type="paragraph" w:styleId="a9">
    <w:name w:val="List Paragraph"/>
    <w:basedOn w:val="a"/>
    <w:uiPriority w:val="34"/>
    <w:qFormat/>
    <w:rsid w:val="00DA5F51"/>
    <w:pPr>
      <w:ind w:left="720"/>
      <w:contextualSpacing/>
    </w:pPr>
  </w:style>
  <w:style w:type="paragraph" w:styleId="aa">
    <w:name w:val="header"/>
    <w:basedOn w:val="a"/>
    <w:link w:val="ab"/>
    <w:uiPriority w:val="99"/>
    <w:unhideWhenUsed/>
    <w:rsid w:val="003326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2628"/>
  </w:style>
  <w:style w:type="paragraph" w:styleId="ac">
    <w:name w:val="footer"/>
    <w:basedOn w:val="a"/>
    <w:link w:val="ad"/>
    <w:uiPriority w:val="99"/>
    <w:semiHidden/>
    <w:unhideWhenUsed/>
    <w:rsid w:val="003326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2628"/>
  </w:style>
  <w:style w:type="paragraph" w:styleId="ae">
    <w:name w:val="Balloon Text"/>
    <w:basedOn w:val="a"/>
    <w:link w:val="af"/>
    <w:uiPriority w:val="99"/>
    <w:semiHidden/>
    <w:unhideWhenUsed/>
    <w:rsid w:val="001C58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8AB"/>
    <w:rPr>
      <w:rFonts w:ascii="Tahoma" w:hAnsi="Tahoma" w:cs="Tahoma"/>
      <w:sz w:val="16"/>
      <w:szCs w:val="16"/>
    </w:rPr>
  </w:style>
  <w:style w:type="paragraph" w:styleId="32">
    <w:name w:val="Body Text 3"/>
    <w:basedOn w:val="a"/>
    <w:link w:val="33"/>
    <w:uiPriority w:val="99"/>
    <w:unhideWhenUsed/>
    <w:rsid w:val="00462C13"/>
    <w:pPr>
      <w:spacing w:after="120"/>
    </w:pPr>
    <w:rPr>
      <w:sz w:val="16"/>
      <w:szCs w:val="16"/>
    </w:rPr>
  </w:style>
  <w:style w:type="character" w:customStyle="1" w:styleId="33">
    <w:name w:val="Основной текст 3 Знак"/>
    <w:basedOn w:val="a0"/>
    <w:link w:val="32"/>
    <w:uiPriority w:val="99"/>
    <w:rsid w:val="00462C13"/>
    <w:rPr>
      <w:sz w:val="16"/>
      <w:szCs w:val="16"/>
    </w:rPr>
  </w:style>
  <w:style w:type="character" w:customStyle="1" w:styleId="70">
    <w:name w:val="Заголовок 7 Знак"/>
    <w:basedOn w:val="a0"/>
    <w:link w:val="7"/>
    <w:uiPriority w:val="9"/>
    <w:rsid w:val="00994D01"/>
    <w:rPr>
      <w:rFonts w:ascii="Calibri" w:eastAsia="Times New Roman" w:hAnsi="Calibri" w:cs="Times New Roman"/>
      <w:sz w:val="24"/>
      <w:szCs w:val="24"/>
      <w:lang w:val="en-US" w:eastAsia="en-US" w:bidi="en-US"/>
    </w:rPr>
  </w:style>
  <w:style w:type="character" w:customStyle="1" w:styleId="FontStyle13">
    <w:name w:val="Font Style13"/>
    <w:basedOn w:val="a0"/>
    <w:uiPriority w:val="99"/>
    <w:rsid w:val="00F85045"/>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6B9C-BCD0-461D-8635-DEFC39B8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2017-06-06T05:24:00Z</cp:lastPrinted>
  <dcterms:created xsi:type="dcterms:W3CDTF">2017-06-06T09:21:00Z</dcterms:created>
  <dcterms:modified xsi:type="dcterms:W3CDTF">2017-06-06T09:21:00Z</dcterms:modified>
</cp:coreProperties>
</file>